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C6476" w14:textId="4088BD2B" w:rsidR="00794DD3" w:rsidRPr="00794DD3" w:rsidRDefault="006219DA" w:rsidP="00794DD3">
      <w:pPr>
        <w:rPr>
          <w:b/>
          <w:bCs/>
          <w:sz w:val="40"/>
          <w:szCs w:val="32"/>
          <w:lang w:eastAsia="en-GB"/>
        </w:rPr>
      </w:pPr>
      <w:r w:rsidRPr="00794DD3">
        <w:rPr>
          <w:b/>
          <w:bCs/>
          <w:sz w:val="40"/>
          <w:szCs w:val="32"/>
          <w:lang w:eastAsia="en-GB"/>
        </w:rPr>
        <w:t>Delivering Better Services</w:t>
      </w:r>
    </w:p>
    <w:p w14:paraId="4AB79659" w14:textId="77777777" w:rsidR="00794DD3" w:rsidRPr="00517843" w:rsidRDefault="006219DA" w:rsidP="00794DD3">
      <w:pPr>
        <w:pStyle w:val="NoSpacing"/>
        <w:jc w:val="right"/>
        <w:rPr>
          <w:rFonts w:eastAsiaTheme="minorHAnsi"/>
          <w:i/>
        </w:rPr>
      </w:pPr>
      <w:r w:rsidRPr="00517843">
        <w:rPr>
          <w:rFonts w:eastAsiaTheme="minorHAnsi"/>
          <w:i/>
        </w:rPr>
        <w:t xml:space="preserve">Key for performance: </w:t>
      </w:r>
    </w:p>
    <w:tbl>
      <w:tblPr>
        <w:tblW w:w="5967" w:type="dxa"/>
        <w:jc w:val="right"/>
        <w:tblLook w:val="04A0" w:firstRow="1" w:lastRow="0" w:firstColumn="1" w:lastColumn="0" w:noHBand="0" w:noVBand="1"/>
      </w:tblPr>
      <w:tblGrid>
        <w:gridCol w:w="1447"/>
        <w:gridCol w:w="2440"/>
        <w:gridCol w:w="2080"/>
      </w:tblGrid>
      <w:tr w:rsidR="00176ACB" w14:paraId="769D1B8F" w14:textId="77777777" w:rsidTr="00AB6544">
        <w:trPr>
          <w:trHeight w:val="172"/>
          <w:jc w:val="right"/>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00FBE36" w14:textId="77777777" w:rsidR="00794DD3" w:rsidRPr="00517843" w:rsidRDefault="006219DA" w:rsidP="00027E42">
            <w:pPr>
              <w:jc w:val="center"/>
              <w:rPr>
                <w:rFonts w:cs="Arial"/>
                <w:i/>
                <w:iCs/>
                <w:color w:val="auto"/>
                <w:sz w:val="18"/>
                <w:szCs w:val="18"/>
              </w:rPr>
            </w:pPr>
            <w:r w:rsidRPr="00517843">
              <w:rPr>
                <w:rFonts w:cs="Arial"/>
                <w:i/>
                <w:iCs/>
                <w:color w:val="auto"/>
                <w:sz w:val="18"/>
                <w:szCs w:val="18"/>
              </w:rPr>
              <w:t>On track/good</w:t>
            </w:r>
          </w:p>
        </w:tc>
        <w:tc>
          <w:tcPr>
            <w:tcW w:w="2440"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7700C3FA" w14:textId="77777777" w:rsidR="00794DD3" w:rsidRPr="00517843" w:rsidRDefault="006219DA" w:rsidP="00027E42">
            <w:pPr>
              <w:jc w:val="center"/>
              <w:rPr>
                <w:rFonts w:cs="Arial"/>
                <w:i/>
                <w:iCs/>
                <w:color w:val="auto"/>
                <w:sz w:val="18"/>
                <w:szCs w:val="18"/>
              </w:rPr>
            </w:pPr>
            <w:r w:rsidRPr="00517843">
              <w:rPr>
                <w:rFonts w:cs="Arial"/>
                <w:i/>
                <w:iCs/>
                <w:color w:val="auto"/>
                <w:sz w:val="18"/>
                <w:szCs w:val="18"/>
              </w:rPr>
              <w:t>Slightly below desired level</w:t>
            </w:r>
          </w:p>
        </w:tc>
        <w:tc>
          <w:tcPr>
            <w:tcW w:w="2080" w:type="dxa"/>
            <w:tcBorders>
              <w:top w:val="nil"/>
              <w:left w:val="nil"/>
              <w:bottom w:val="single" w:sz="8" w:space="0" w:color="auto"/>
              <w:right w:val="single" w:sz="8" w:space="0" w:color="auto"/>
            </w:tcBorders>
            <w:shd w:val="clear" w:color="000000" w:fill="FF0000"/>
            <w:noWrap/>
            <w:vAlign w:val="center"/>
            <w:hideMark/>
          </w:tcPr>
          <w:p w14:paraId="736B4E05" w14:textId="77777777" w:rsidR="00794DD3" w:rsidRPr="00517843" w:rsidRDefault="006219DA" w:rsidP="00027E42">
            <w:pPr>
              <w:jc w:val="center"/>
              <w:rPr>
                <w:rFonts w:cs="Arial"/>
                <w:i/>
                <w:color w:val="auto"/>
                <w:sz w:val="18"/>
                <w:szCs w:val="18"/>
              </w:rPr>
            </w:pPr>
            <w:r w:rsidRPr="00517843">
              <w:rPr>
                <w:rFonts w:cs="Arial"/>
                <w:i/>
                <w:color w:val="FFFFFF" w:themeColor="background1"/>
                <w:sz w:val="18"/>
                <w:szCs w:val="18"/>
              </w:rPr>
              <w:t>Requires improvement</w:t>
            </w:r>
          </w:p>
        </w:tc>
      </w:tr>
    </w:tbl>
    <w:p w14:paraId="043745FF" w14:textId="77777777" w:rsidR="00794DD3" w:rsidRDefault="00794DD3" w:rsidP="00027E42">
      <w:pPr>
        <w:pStyle w:val="NoSpacing"/>
        <w:jc w:val="center"/>
        <w:rPr>
          <w:color w:val="0070C0"/>
        </w:rPr>
      </w:pPr>
    </w:p>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1320"/>
        <w:gridCol w:w="1515"/>
        <w:gridCol w:w="810"/>
        <w:gridCol w:w="1440"/>
        <w:gridCol w:w="1260"/>
        <w:gridCol w:w="1710"/>
        <w:gridCol w:w="1575"/>
        <w:gridCol w:w="1575"/>
      </w:tblGrid>
      <w:tr w:rsidR="00176ACB" w14:paraId="45A0736E" w14:textId="77777777" w:rsidTr="001400A4">
        <w:trPr>
          <w:trHeight w:val="819"/>
          <w:jc w:val="center"/>
        </w:trPr>
        <w:tc>
          <w:tcPr>
            <w:tcW w:w="2555" w:type="dxa"/>
            <w:tcBorders>
              <w:top w:val="single" w:sz="4" w:space="0" w:color="auto"/>
              <w:left w:val="single" w:sz="4" w:space="0" w:color="auto"/>
              <w:bottom w:val="single" w:sz="4" w:space="0" w:color="auto"/>
              <w:right w:val="single" w:sz="4" w:space="0" w:color="auto"/>
            </w:tcBorders>
            <w:hideMark/>
          </w:tcPr>
          <w:p w14:paraId="578503A7" w14:textId="77777777" w:rsidR="00794DD3" w:rsidRPr="00517843" w:rsidRDefault="006219DA" w:rsidP="00027E42">
            <w:pPr>
              <w:pStyle w:val="NoSpacing"/>
              <w:jc w:val="center"/>
              <w:rPr>
                <w:rFonts w:ascii="Arial" w:hAnsi="Arial" w:cs="Arial"/>
                <w:b/>
              </w:rPr>
            </w:pPr>
            <w:r w:rsidRPr="0047796E">
              <w:rPr>
                <w:rFonts w:ascii="Arial" w:hAnsi="Arial" w:cs="Arial"/>
                <w:b/>
                <w:sz w:val="20"/>
                <w:szCs w:val="20"/>
              </w:rPr>
              <w:t>Performance Indicator</w:t>
            </w:r>
          </w:p>
        </w:tc>
        <w:tc>
          <w:tcPr>
            <w:tcW w:w="1320" w:type="dxa"/>
            <w:tcBorders>
              <w:top w:val="single" w:sz="4" w:space="0" w:color="auto"/>
              <w:left w:val="single" w:sz="4" w:space="0" w:color="auto"/>
              <w:bottom w:val="single" w:sz="4" w:space="0" w:color="auto"/>
              <w:right w:val="single" w:sz="4" w:space="0" w:color="auto"/>
            </w:tcBorders>
            <w:hideMark/>
          </w:tcPr>
          <w:p w14:paraId="24EA0A77" w14:textId="77777777" w:rsidR="00794DD3" w:rsidRPr="00517843" w:rsidRDefault="006219DA" w:rsidP="00027E42">
            <w:pPr>
              <w:pStyle w:val="NoSpacing"/>
              <w:jc w:val="center"/>
              <w:rPr>
                <w:rFonts w:ascii="Arial" w:hAnsi="Arial" w:cs="Arial"/>
                <w:b/>
              </w:rPr>
            </w:pPr>
            <w:r w:rsidRPr="0047796E">
              <w:rPr>
                <w:rFonts w:ascii="Arial" w:hAnsi="Arial" w:cs="Arial"/>
                <w:b/>
                <w:sz w:val="20"/>
                <w:szCs w:val="20"/>
              </w:rPr>
              <w:t>Frequency</w:t>
            </w:r>
          </w:p>
        </w:tc>
        <w:tc>
          <w:tcPr>
            <w:tcW w:w="1515" w:type="dxa"/>
            <w:tcBorders>
              <w:top w:val="single" w:sz="4" w:space="0" w:color="auto"/>
              <w:left w:val="single" w:sz="4" w:space="0" w:color="auto"/>
              <w:bottom w:val="single" w:sz="4" w:space="0" w:color="auto"/>
              <w:right w:val="single" w:sz="4" w:space="0" w:color="auto"/>
            </w:tcBorders>
          </w:tcPr>
          <w:p w14:paraId="41A0472E" w14:textId="03348609" w:rsidR="00794DD3" w:rsidRPr="00517843" w:rsidRDefault="006219DA" w:rsidP="00027E42">
            <w:pPr>
              <w:pStyle w:val="NoSpacing"/>
              <w:jc w:val="center"/>
              <w:rPr>
                <w:rFonts w:ascii="Arial" w:hAnsi="Arial" w:cs="Arial"/>
                <w:b/>
                <w:bCs/>
              </w:rPr>
            </w:pPr>
            <w:r w:rsidRPr="62385CB5">
              <w:rPr>
                <w:rFonts w:ascii="Arial" w:hAnsi="Arial" w:cs="Arial"/>
                <w:b/>
                <w:bCs/>
                <w:sz w:val="20"/>
                <w:szCs w:val="20"/>
              </w:rPr>
              <w:t>Directorate</w:t>
            </w:r>
          </w:p>
        </w:tc>
        <w:tc>
          <w:tcPr>
            <w:tcW w:w="810" w:type="dxa"/>
            <w:tcBorders>
              <w:top w:val="single" w:sz="4" w:space="0" w:color="auto"/>
              <w:left w:val="single" w:sz="4" w:space="0" w:color="auto"/>
              <w:bottom w:val="single" w:sz="4" w:space="0" w:color="auto"/>
              <w:right w:val="single" w:sz="4" w:space="0" w:color="auto"/>
            </w:tcBorders>
          </w:tcPr>
          <w:p w14:paraId="3CD78248" w14:textId="77777777" w:rsidR="00794DD3" w:rsidRPr="00517843" w:rsidRDefault="006219DA" w:rsidP="00027E42">
            <w:pPr>
              <w:pStyle w:val="NoSpacing"/>
              <w:jc w:val="center"/>
              <w:rPr>
                <w:rFonts w:ascii="Arial" w:hAnsi="Arial" w:cs="Arial"/>
                <w:b/>
                <w:bCs/>
              </w:rPr>
            </w:pPr>
            <w:r w:rsidRPr="62385CB5">
              <w:rPr>
                <w:rFonts w:ascii="Arial" w:hAnsi="Arial" w:cs="Arial"/>
                <w:b/>
                <w:bCs/>
                <w:sz w:val="20"/>
                <w:szCs w:val="20"/>
              </w:rPr>
              <w:t>Good is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ADE471" w14:textId="77777777" w:rsidR="00794DD3" w:rsidRPr="00517843" w:rsidRDefault="006219DA" w:rsidP="00027E42">
            <w:pPr>
              <w:pStyle w:val="NoSpacing"/>
              <w:jc w:val="center"/>
              <w:rPr>
                <w:rFonts w:ascii="Arial" w:hAnsi="Arial" w:cs="Arial"/>
                <w:b/>
                <w:bCs/>
              </w:rPr>
            </w:pPr>
            <w:r w:rsidRPr="62385CB5">
              <w:rPr>
                <w:rFonts w:ascii="Arial" w:hAnsi="Arial" w:cs="Arial"/>
                <w:b/>
                <w:bCs/>
                <w:sz w:val="20"/>
                <w:szCs w:val="20"/>
              </w:rPr>
              <w:t>2019/20 Outturn</w:t>
            </w:r>
          </w:p>
        </w:tc>
        <w:tc>
          <w:tcPr>
            <w:tcW w:w="1260" w:type="dxa"/>
            <w:tcBorders>
              <w:top w:val="single" w:sz="4" w:space="0" w:color="auto"/>
              <w:left w:val="single" w:sz="4" w:space="0" w:color="auto"/>
              <w:bottom w:val="single" w:sz="4" w:space="0" w:color="auto"/>
              <w:right w:val="single" w:sz="4" w:space="0" w:color="auto"/>
            </w:tcBorders>
          </w:tcPr>
          <w:p w14:paraId="54218630" w14:textId="77777777" w:rsidR="00794DD3" w:rsidRPr="00517843" w:rsidRDefault="006219DA" w:rsidP="00027E42">
            <w:pPr>
              <w:pStyle w:val="NoSpacing"/>
              <w:jc w:val="center"/>
              <w:rPr>
                <w:rFonts w:ascii="Arial" w:hAnsi="Arial" w:cs="Arial"/>
                <w:b/>
                <w:bCs/>
                <w:sz w:val="20"/>
                <w:szCs w:val="20"/>
              </w:rPr>
            </w:pPr>
            <w:r w:rsidRPr="62385CB5">
              <w:rPr>
                <w:rFonts w:ascii="Arial" w:hAnsi="Arial" w:cs="Arial"/>
                <w:b/>
                <w:bCs/>
                <w:sz w:val="20"/>
                <w:szCs w:val="20"/>
              </w:rPr>
              <w:t>2020/21 Outturn</w:t>
            </w:r>
          </w:p>
        </w:tc>
        <w:tc>
          <w:tcPr>
            <w:tcW w:w="1710" w:type="dxa"/>
            <w:tcBorders>
              <w:top w:val="single" w:sz="4" w:space="0" w:color="auto"/>
              <w:left w:val="single" w:sz="4" w:space="0" w:color="auto"/>
              <w:bottom w:val="single" w:sz="4" w:space="0" w:color="auto"/>
              <w:right w:val="single" w:sz="4" w:space="0" w:color="auto"/>
            </w:tcBorders>
          </w:tcPr>
          <w:p w14:paraId="2525AFB0" w14:textId="77777777" w:rsidR="00794DD3" w:rsidRDefault="006219DA" w:rsidP="00027E42">
            <w:pPr>
              <w:pStyle w:val="NoSpacing"/>
              <w:jc w:val="center"/>
              <w:rPr>
                <w:rFonts w:ascii="Arial" w:hAnsi="Arial" w:cs="Arial"/>
                <w:b/>
                <w:bCs/>
                <w:sz w:val="20"/>
                <w:szCs w:val="20"/>
              </w:rPr>
            </w:pPr>
            <w:r w:rsidRPr="62385CB5">
              <w:rPr>
                <w:rFonts w:ascii="Arial" w:hAnsi="Arial" w:cs="Arial"/>
                <w:b/>
                <w:bCs/>
                <w:sz w:val="20"/>
                <w:szCs w:val="20"/>
              </w:rPr>
              <w:t>Quarter 1 (April- June)</w:t>
            </w:r>
          </w:p>
          <w:p w14:paraId="31D1BB05" w14:textId="77777777" w:rsidR="00794DD3" w:rsidRDefault="006219DA" w:rsidP="00027E42">
            <w:pPr>
              <w:pStyle w:val="NoSpacing"/>
              <w:jc w:val="center"/>
              <w:rPr>
                <w:rFonts w:ascii="Arial" w:hAnsi="Arial" w:cs="Arial"/>
                <w:b/>
                <w:bCs/>
                <w:sz w:val="20"/>
                <w:szCs w:val="20"/>
              </w:rPr>
            </w:pPr>
            <w:r w:rsidRPr="62385CB5">
              <w:rPr>
                <w:rFonts w:ascii="Arial" w:hAnsi="Arial" w:cs="Arial"/>
                <w:b/>
                <w:bCs/>
                <w:sz w:val="20"/>
                <w:szCs w:val="20"/>
              </w:rPr>
              <w:t>2021/22</w:t>
            </w:r>
          </w:p>
        </w:tc>
        <w:tc>
          <w:tcPr>
            <w:tcW w:w="1575" w:type="dxa"/>
            <w:tcBorders>
              <w:top w:val="single" w:sz="4" w:space="0" w:color="auto"/>
              <w:left w:val="single" w:sz="4" w:space="0" w:color="auto"/>
              <w:bottom w:val="single" w:sz="4" w:space="0" w:color="auto"/>
              <w:right w:val="single" w:sz="4" w:space="0" w:color="auto"/>
            </w:tcBorders>
          </w:tcPr>
          <w:p w14:paraId="56007E9D" w14:textId="77777777" w:rsidR="00794DD3" w:rsidRPr="62385CB5" w:rsidRDefault="006219DA" w:rsidP="00027E42">
            <w:pPr>
              <w:pStyle w:val="NoSpacing"/>
              <w:jc w:val="center"/>
              <w:rPr>
                <w:rFonts w:ascii="Arial" w:hAnsi="Arial" w:cs="Arial"/>
                <w:b/>
                <w:bCs/>
                <w:sz w:val="20"/>
                <w:szCs w:val="20"/>
              </w:rPr>
            </w:pPr>
            <w:r>
              <w:rPr>
                <w:rFonts w:ascii="Arial" w:hAnsi="Arial" w:cs="Arial"/>
                <w:b/>
                <w:bCs/>
                <w:sz w:val="20"/>
                <w:szCs w:val="20"/>
              </w:rPr>
              <w:t>Quarter 2 (July – Sep) 2021/22</w:t>
            </w:r>
          </w:p>
        </w:tc>
        <w:tc>
          <w:tcPr>
            <w:tcW w:w="1575" w:type="dxa"/>
            <w:tcBorders>
              <w:top w:val="single" w:sz="4" w:space="0" w:color="auto"/>
              <w:left w:val="single" w:sz="4" w:space="0" w:color="auto"/>
              <w:bottom w:val="single" w:sz="4" w:space="0" w:color="auto"/>
              <w:right w:val="single" w:sz="4" w:space="0" w:color="auto"/>
            </w:tcBorders>
          </w:tcPr>
          <w:p w14:paraId="6C063808" w14:textId="77777777" w:rsidR="00794DD3" w:rsidRPr="00517843" w:rsidRDefault="006219DA" w:rsidP="00027E42">
            <w:pPr>
              <w:pStyle w:val="NoSpacing"/>
              <w:jc w:val="center"/>
              <w:rPr>
                <w:rFonts w:ascii="Arial" w:hAnsi="Arial" w:cs="Arial"/>
                <w:b/>
                <w:bCs/>
              </w:rPr>
            </w:pPr>
            <w:r w:rsidRPr="62385CB5">
              <w:rPr>
                <w:rFonts w:ascii="Arial" w:hAnsi="Arial" w:cs="Arial"/>
                <w:b/>
                <w:bCs/>
                <w:sz w:val="20"/>
                <w:szCs w:val="20"/>
              </w:rPr>
              <w:t>2021/22 Target</w:t>
            </w:r>
          </w:p>
        </w:tc>
      </w:tr>
      <w:tr w:rsidR="00176ACB" w14:paraId="33459319" w14:textId="77777777" w:rsidTr="00323A99">
        <w:trPr>
          <w:trHeight w:val="852"/>
          <w:jc w:val="center"/>
        </w:trPr>
        <w:tc>
          <w:tcPr>
            <w:tcW w:w="2555" w:type="dxa"/>
            <w:tcBorders>
              <w:top w:val="single" w:sz="4" w:space="0" w:color="auto"/>
              <w:left w:val="single" w:sz="4" w:space="0" w:color="auto"/>
              <w:bottom w:val="single" w:sz="4" w:space="0" w:color="auto"/>
              <w:right w:val="single" w:sz="4" w:space="0" w:color="auto"/>
            </w:tcBorders>
            <w:hideMark/>
          </w:tcPr>
          <w:p w14:paraId="37792BC9" w14:textId="77777777" w:rsidR="00794DD3" w:rsidRPr="00AB0D98" w:rsidRDefault="006219DA" w:rsidP="00EC7BBC">
            <w:pPr>
              <w:pStyle w:val="NoSpacing"/>
              <w:rPr>
                <w:rFonts w:ascii="Arial" w:hAnsi="Arial" w:cs="Arial"/>
              </w:rPr>
            </w:pPr>
            <w:r w:rsidRPr="00AB0D98">
              <w:rPr>
                <w:rFonts w:ascii="Arial" w:hAnsi="Arial" w:cs="Arial"/>
              </w:rPr>
              <w:t>Safety carriageway defects repaired within 4 hours (emergency)</w:t>
            </w:r>
          </w:p>
        </w:tc>
        <w:tc>
          <w:tcPr>
            <w:tcW w:w="1320" w:type="dxa"/>
            <w:tcBorders>
              <w:top w:val="single" w:sz="4" w:space="0" w:color="auto"/>
              <w:left w:val="single" w:sz="4" w:space="0" w:color="auto"/>
              <w:bottom w:val="single" w:sz="4" w:space="0" w:color="auto"/>
              <w:right w:val="single" w:sz="4" w:space="0" w:color="auto"/>
            </w:tcBorders>
            <w:hideMark/>
          </w:tcPr>
          <w:p w14:paraId="3E919C48" w14:textId="77777777" w:rsidR="00794DD3" w:rsidRPr="00517843" w:rsidRDefault="006219DA" w:rsidP="0045224E">
            <w:pPr>
              <w:pStyle w:val="NoSpacing"/>
              <w:jc w:val="center"/>
              <w:rPr>
                <w:rFonts w:ascii="Arial" w:hAnsi="Arial" w:cs="Arial"/>
              </w:rPr>
            </w:pPr>
            <w:r w:rsidRPr="00517843">
              <w:rPr>
                <w:rFonts w:ascii="Arial" w:hAnsi="Arial" w:cs="Arial"/>
              </w:rPr>
              <w:t>Quarterly</w:t>
            </w:r>
          </w:p>
        </w:tc>
        <w:tc>
          <w:tcPr>
            <w:tcW w:w="1515" w:type="dxa"/>
            <w:tcBorders>
              <w:top w:val="single" w:sz="4" w:space="0" w:color="auto"/>
              <w:left w:val="single" w:sz="4" w:space="0" w:color="auto"/>
              <w:bottom w:val="single" w:sz="4" w:space="0" w:color="auto"/>
              <w:right w:val="single" w:sz="4" w:space="0" w:color="auto"/>
            </w:tcBorders>
          </w:tcPr>
          <w:p w14:paraId="73253CF6" w14:textId="77777777" w:rsidR="00794DD3" w:rsidRPr="00517843" w:rsidRDefault="006219DA" w:rsidP="00027E42">
            <w:pPr>
              <w:pStyle w:val="NoSpacing"/>
              <w:jc w:val="center"/>
              <w:rPr>
                <w:rFonts w:ascii="Arial" w:hAnsi="Arial" w:cs="Arial"/>
              </w:rPr>
            </w:pPr>
            <w:r w:rsidRPr="00517843">
              <w:rPr>
                <w:rFonts w:ascii="Arial" w:hAnsi="Arial" w:cs="Arial"/>
              </w:rPr>
              <w:t>Growth, Environment &amp; Transport</w:t>
            </w:r>
          </w:p>
        </w:tc>
        <w:tc>
          <w:tcPr>
            <w:tcW w:w="810" w:type="dxa"/>
            <w:tcBorders>
              <w:top w:val="single" w:sz="4" w:space="0" w:color="auto"/>
              <w:left w:val="single" w:sz="4" w:space="0" w:color="auto"/>
              <w:bottom w:val="single" w:sz="4" w:space="0" w:color="auto"/>
              <w:right w:val="single" w:sz="4" w:space="0" w:color="auto"/>
            </w:tcBorders>
          </w:tcPr>
          <w:p w14:paraId="76A09C28" w14:textId="77777777" w:rsidR="00794DD3" w:rsidRPr="00517843" w:rsidRDefault="006219DA" w:rsidP="00027E42">
            <w:pPr>
              <w:pStyle w:val="NoSpacing"/>
              <w:jc w:val="center"/>
              <w:rPr>
                <w:rFonts w:ascii="Arial" w:hAnsi="Arial" w:cs="Arial"/>
              </w:rPr>
            </w:pPr>
            <w:r w:rsidRPr="00517843">
              <w:rPr>
                <w:rFonts w:ascii="Arial" w:hAnsi="Arial" w:cs="Arial"/>
              </w:rPr>
              <w:t>High</w:t>
            </w: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0A938EDD" w14:textId="77777777" w:rsidR="00794DD3" w:rsidRPr="000D1C6F" w:rsidRDefault="006219DA" w:rsidP="00027E42">
            <w:pPr>
              <w:pStyle w:val="NoSpacing"/>
              <w:jc w:val="center"/>
              <w:rPr>
                <w:rFonts w:ascii="Arial" w:hAnsi="Arial" w:cs="Arial"/>
                <w:color w:val="FFFFFF" w:themeColor="background1"/>
              </w:rPr>
            </w:pPr>
            <w:r w:rsidRPr="000D1C6F">
              <w:rPr>
                <w:rFonts w:ascii="Arial" w:hAnsi="Arial" w:cs="Arial"/>
                <w:color w:val="FFFFFF" w:themeColor="background1"/>
              </w:rPr>
              <w:t>92.63%</w:t>
            </w:r>
          </w:p>
        </w:tc>
        <w:tc>
          <w:tcPr>
            <w:tcW w:w="12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9DC7027" w14:textId="77777777" w:rsidR="00794DD3" w:rsidRPr="004019BF" w:rsidRDefault="006219DA" w:rsidP="00027E42">
            <w:pPr>
              <w:pStyle w:val="NoSpacing"/>
              <w:jc w:val="center"/>
              <w:rPr>
                <w:rFonts w:ascii="Arial" w:hAnsi="Arial" w:cs="Arial"/>
              </w:rPr>
            </w:pPr>
            <w:r w:rsidRPr="62385CB5">
              <w:rPr>
                <w:rFonts w:ascii="Arial" w:hAnsi="Arial" w:cs="Arial"/>
              </w:rPr>
              <w:t>91.95%</w:t>
            </w:r>
          </w:p>
        </w:tc>
        <w:tc>
          <w:tcPr>
            <w:tcW w:w="1710" w:type="dxa"/>
            <w:tcBorders>
              <w:top w:val="single" w:sz="4" w:space="0" w:color="auto"/>
              <w:left w:val="single" w:sz="4" w:space="0" w:color="auto"/>
              <w:bottom w:val="single" w:sz="4" w:space="0" w:color="auto"/>
              <w:right w:val="single" w:sz="4" w:space="0" w:color="auto"/>
            </w:tcBorders>
            <w:shd w:val="clear" w:color="auto" w:fill="FF0000"/>
            <w:vAlign w:val="center"/>
          </w:tcPr>
          <w:p w14:paraId="78C76706" w14:textId="77777777" w:rsidR="00794DD3" w:rsidRPr="000D1C6F" w:rsidRDefault="006219DA" w:rsidP="00027E42">
            <w:pPr>
              <w:pStyle w:val="NoSpacing"/>
              <w:jc w:val="center"/>
              <w:rPr>
                <w:rFonts w:ascii="Arial" w:hAnsi="Arial" w:cs="Arial"/>
                <w:color w:val="FFFFFF" w:themeColor="background1"/>
              </w:rPr>
            </w:pPr>
            <w:r w:rsidRPr="000D1C6F">
              <w:rPr>
                <w:rFonts w:ascii="Arial" w:hAnsi="Arial" w:cs="Arial"/>
                <w:color w:val="FFFFFF" w:themeColor="background1"/>
              </w:rPr>
              <w:t>88.10%</w:t>
            </w:r>
          </w:p>
        </w:tc>
        <w:tc>
          <w:tcPr>
            <w:tcW w:w="1575" w:type="dxa"/>
            <w:tcBorders>
              <w:top w:val="single" w:sz="4" w:space="0" w:color="auto"/>
              <w:left w:val="single" w:sz="4" w:space="0" w:color="auto"/>
              <w:bottom w:val="single" w:sz="4" w:space="0" w:color="auto"/>
              <w:right w:val="single" w:sz="4" w:space="0" w:color="auto"/>
            </w:tcBorders>
            <w:shd w:val="clear" w:color="auto" w:fill="FF0000"/>
            <w:vAlign w:val="center"/>
          </w:tcPr>
          <w:p w14:paraId="14C84FBD" w14:textId="4C3C6BC8" w:rsidR="00794DD3" w:rsidRPr="000D1C6F" w:rsidRDefault="006219DA" w:rsidP="00323A99">
            <w:pPr>
              <w:pStyle w:val="NoSpacing"/>
              <w:jc w:val="center"/>
              <w:rPr>
                <w:rFonts w:ascii="Arial" w:hAnsi="Arial" w:cs="Arial"/>
                <w:highlight w:val="yellow"/>
              </w:rPr>
            </w:pPr>
            <w:r w:rsidRPr="000D1C6F">
              <w:rPr>
                <w:rFonts w:ascii="Arial" w:hAnsi="Arial" w:cs="Arial"/>
                <w:color w:val="FFFFFF" w:themeColor="background1"/>
              </w:rPr>
              <w:t>88.71%</w:t>
            </w:r>
          </w:p>
        </w:tc>
        <w:tc>
          <w:tcPr>
            <w:tcW w:w="1575" w:type="dxa"/>
            <w:tcBorders>
              <w:top w:val="single" w:sz="4" w:space="0" w:color="auto"/>
              <w:left w:val="single" w:sz="4" w:space="0" w:color="auto"/>
              <w:bottom w:val="single" w:sz="4" w:space="0" w:color="auto"/>
              <w:right w:val="single" w:sz="4" w:space="0" w:color="auto"/>
            </w:tcBorders>
            <w:vAlign w:val="center"/>
          </w:tcPr>
          <w:p w14:paraId="63A7B131" w14:textId="77777777" w:rsidR="00794DD3" w:rsidRPr="00517843" w:rsidRDefault="006219DA" w:rsidP="00027E42">
            <w:pPr>
              <w:pStyle w:val="NoSpacing"/>
              <w:jc w:val="center"/>
              <w:rPr>
                <w:rFonts w:ascii="Arial" w:hAnsi="Arial" w:cs="Arial"/>
              </w:rPr>
            </w:pPr>
            <w:r w:rsidRPr="62385CB5">
              <w:rPr>
                <w:rFonts w:ascii="Arial" w:hAnsi="Arial" w:cs="Arial"/>
              </w:rPr>
              <w:t>95%</w:t>
            </w:r>
          </w:p>
        </w:tc>
      </w:tr>
      <w:tr w:rsidR="00176ACB" w14:paraId="167BD2C8" w14:textId="77777777" w:rsidTr="005976D8">
        <w:trPr>
          <w:trHeight w:val="863"/>
          <w:jc w:val="center"/>
        </w:trPr>
        <w:tc>
          <w:tcPr>
            <w:tcW w:w="2555" w:type="dxa"/>
            <w:tcBorders>
              <w:top w:val="single" w:sz="4" w:space="0" w:color="auto"/>
              <w:left w:val="single" w:sz="4" w:space="0" w:color="auto"/>
              <w:bottom w:val="single" w:sz="4" w:space="0" w:color="auto"/>
              <w:right w:val="single" w:sz="4" w:space="0" w:color="auto"/>
            </w:tcBorders>
            <w:hideMark/>
          </w:tcPr>
          <w:p w14:paraId="0F28E7F3" w14:textId="77777777" w:rsidR="00794DD3" w:rsidRPr="00AB0D98" w:rsidRDefault="006219DA" w:rsidP="00EC7BBC">
            <w:pPr>
              <w:pStyle w:val="NoSpacing"/>
              <w:rPr>
                <w:rFonts w:ascii="Arial" w:hAnsi="Arial" w:cs="Arial"/>
              </w:rPr>
            </w:pPr>
            <w:r w:rsidRPr="00AB0D98">
              <w:rPr>
                <w:rFonts w:ascii="Arial" w:hAnsi="Arial" w:cs="Arial"/>
              </w:rPr>
              <w:t>Safety carriageway defects repaired within 2 working days (urgent)</w:t>
            </w:r>
          </w:p>
        </w:tc>
        <w:tc>
          <w:tcPr>
            <w:tcW w:w="1320" w:type="dxa"/>
            <w:tcBorders>
              <w:top w:val="single" w:sz="4" w:space="0" w:color="auto"/>
              <w:left w:val="single" w:sz="4" w:space="0" w:color="auto"/>
              <w:bottom w:val="single" w:sz="4" w:space="0" w:color="auto"/>
              <w:right w:val="single" w:sz="4" w:space="0" w:color="auto"/>
            </w:tcBorders>
            <w:hideMark/>
          </w:tcPr>
          <w:p w14:paraId="2F56FBCB" w14:textId="77777777" w:rsidR="00794DD3" w:rsidRPr="00517843" w:rsidRDefault="006219DA" w:rsidP="0045224E">
            <w:pPr>
              <w:pStyle w:val="NoSpacing"/>
              <w:jc w:val="center"/>
              <w:rPr>
                <w:rFonts w:ascii="Arial" w:hAnsi="Arial" w:cs="Arial"/>
              </w:rPr>
            </w:pPr>
            <w:r w:rsidRPr="00517843">
              <w:rPr>
                <w:rFonts w:ascii="Arial" w:hAnsi="Arial" w:cs="Arial"/>
              </w:rPr>
              <w:t>Quarterly</w:t>
            </w:r>
          </w:p>
        </w:tc>
        <w:tc>
          <w:tcPr>
            <w:tcW w:w="1515" w:type="dxa"/>
            <w:tcBorders>
              <w:top w:val="single" w:sz="4" w:space="0" w:color="auto"/>
              <w:left w:val="single" w:sz="4" w:space="0" w:color="auto"/>
              <w:bottom w:val="single" w:sz="4" w:space="0" w:color="auto"/>
              <w:right w:val="single" w:sz="4" w:space="0" w:color="auto"/>
            </w:tcBorders>
          </w:tcPr>
          <w:p w14:paraId="37065C29" w14:textId="77777777" w:rsidR="00794DD3" w:rsidRPr="00517843" w:rsidRDefault="006219DA" w:rsidP="00027E42">
            <w:pPr>
              <w:pStyle w:val="NoSpacing"/>
              <w:jc w:val="center"/>
              <w:rPr>
                <w:rFonts w:ascii="Arial" w:hAnsi="Arial" w:cs="Arial"/>
              </w:rPr>
            </w:pPr>
            <w:r w:rsidRPr="00517843">
              <w:rPr>
                <w:rFonts w:ascii="Arial" w:hAnsi="Arial" w:cs="Arial"/>
              </w:rPr>
              <w:t>Growth, Environment &amp; Transport</w:t>
            </w:r>
          </w:p>
        </w:tc>
        <w:tc>
          <w:tcPr>
            <w:tcW w:w="810" w:type="dxa"/>
            <w:tcBorders>
              <w:top w:val="single" w:sz="4" w:space="0" w:color="auto"/>
              <w:left w:val="single" w:sz="4" w:space="0" w:color="auto"/>
              <w:bottom w:val="single" w:sz="4" w:space="0" w:color="auto"/>
              <w:right w:val="single" w:sz="4" w:space="0" w:color="auto"/>
            </w:tcBorders>
          </w:tcPr>
          <w:p w14:paraId="0A0A5A54" w14:textId="77777777" w:rsidR="00794DD3" w:rsidRPr="00517843" w:rsidRDefault="006219DA" w:rsidP="00027E42">
            <w:pPr>
              <w:pStyle w:val="NoSpacing"/>
              <w:jc w:val="center"/>
              <w:rPr>
                <w:rFonts w:ascii="Arial" w:hAnsi="Arial" w:cs="Arial"/>
              </w:rPr>
            </w:pPr>
            <w:r w:rsidRPr="00517843">
              <w:rPr>
                <w:rFonts w:ascii="Arial" w:hAnsi="Arial" w:cs="Arial"/>
              </w:rPr>
              <w:t>High</w:t>
            </w: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4A37FC4A" w14:textId="77777777" w:rsidR="00794DD3" w:rsidRPr="000D1C6F" w:rsidRDefault="006219DA" w:rsidP="00027E42">
            <w:pPr>
              <w:pStyle w:val="NoSpacing"/>
              <w:jc w:val="center"/>
              <w:rPr>
                <w:rFonts w:ascii="Arial" w:hAnsi="Arial" w:cs="Arial"/>
                <w:color w:val="FFFFFF" w:themeColor="background1"/>
              </w:rPr>
            </w:pPr>
            <w:r w:rsidRPr="000D1C6F">
              <w:rPr>
                <w:rFonts w:ascii="Arial" w:hAnsi="Arial" w:cs="Arial"/>
                <w:color w:val="FFFFFF" w:themeColor="background1"/>
              </w:rPr>
              <w:t>92.02%</w:t>
            </w:r>
          </w:p>
        </w:tc>
        <w:tc>
          <w:tcPr>
            <w:tcW w:w="1260" w:type="dxa"/>
            <w:tcBorders>
              <w:top w:val="single" w:sz="4" w:space="0" w:color="auto"/>
              <w:left w:val="single" w:sz="4" w:space="0" w:color="auto"/>
              <w:bottom w:val="single" w:sz="4" w:space="0" w:color="auto"/>
              <w:right w:val="single" w:sz="4" w:space="0" w:color="auto"/>
            </w:tcBorders>
            <w:shd w:val="clear" w:color="auto" w:fill="FF0000"/>
            <w:vAlign w:val="center"/>
          </w:tcPr>
          <w:p w14:paraId="60D6906D" w14:textId="77777777" w:rsidR="00794DD3" w:rsidRPr="000D1C6F" w:rsidRDefault="006219DA" w:rsidP="00027E42">
            <w:pPr>
              <w:pStyle w:val="NoSpacing"/>
              <w:jc w:val="center"/>
              <w:rPr>
                <w:rFonts w:ascii="Arial" w:hAnsi="Arial" w:cs="Arial"/>
                <w:color w:val="FFFFFF" w:themeColor="background1"/>
              </w:rPr>
            </w:pPr>
            <w:r w:rsidRPr="000D1C6F">
              <w:rPr>
                <w:rFonts w:ascii="Arial" w:hAnsi="Arial" w:cs="Arial"/>
                <w:color w:val="FFFFFF" w:themeColor="background1"/>
              </w:rPr>
              <w:t>86.79%</w:t>
            </w:r>
          </w:p>
        </w:tc>
        <w:tc>
          <w:tcPr>
            <w:tcW w:w="1710" w:type="dxa"/>
            <w:tcBorders>
              <w:top w:val="single" w:sz="4" w:space="0" w:color="auto"/>
              <w:left w:val="single" w:sz="4" w:space="0" w:color="auto"/>
              <w:bottom w:val="single" w:sz="4" w:space="0" w:color="auto"/>
              <w:right w:val="single" w:sz="4" w:space="0" w:color="auto"/>
            </w:tcBorders>
            <w:shd w:val="clear" w:color="auto" w:fill="FF0000"/>
            <w:vAlign w:val="center"/>
          </w:tcPr>
          <w:p w14:paraId="226F94DE" w14:textId="77777777" w:rsidR="00794DD3" w:rsidRPr="000D1C6F" w:rsidRDefault="006219DA" w:rsidP="00027E42">
            <w:pPr>
              <w:pStyle w:val="NoSpacing"/>
              <w:jc w:val="center"/>
              <w:rPr>
                <w:rFonts w:ascii="Arial" w:hAnsi="Arial" w:cs="Arial"/>
                <w:color w:val="FFFFFF" w:themeColor="background1"/>
              </w:rPr>
            </w:pPr>
            <w:r w:rsidRPr="000D1C6F">
              <w:rPr>
                <w:rFonts w:ascii="Arial" w:hAnsi="Arial" w:cs="Arial"/>
                <w:color w:val="FFFFFF" w:themeColor="background1"/>
              </w:rPr>
              <w:t>82.29%</w:t>
            </w:r>
          </w:p>
        </w:tc>
        <w:tc>
          <w:tcPr>
            <w:tcW w:w="1575" w:type="dxa"/>
            <w:tcBorders>
              <w:top w:val="single" w:sz="4" w:space="0" w:color="auto"/>
              <w:left w:val="single" w:sz="4" w:space="0" w:color="auto"/>
              <w:bottom w:val="single" w:sz="4" w:space="0" w:color="auto"/>
              <w:right w:val="single" w:sz="4" w:space="0" w:color="auto"/>
            </w:tcBorders>
            <w:shd w:val="clear" w:color="auto" w:fill="FF0000"/>
            <w:vAlign w:val="center"/>
          </w:tcPr>
          <w:p w14:paraId="2DAED860" w14:textId="21BBF621" w:rsidR="00794DD3" w:rsidRPr="00027E42" w:rsidRDefault="006219DA" w:rsidP="005976D8">
            <w:pPr>
              <w:pStyle w:val="NoSpacing"/>
              <w:jc w:val="center"/>
              <w:rPr>
                <w:rFonts w:ascii="Arial" w:hAnsi="Arial" w:cs="Arial"/>
                <w:color w:val="FFFFFF" w:themeColor="background1"/>
              </w:rPr>
            </w:pPr>
            <w:r w:rsidRPr="00027E42">
              <w:rPr>
                <w:rFonts w:ascii="Arial" w:hAnsi="Arial" w:cs="Arial"/>
                <w:color w:val="FFFFFF" w:themeColor="background1"/>
              </w:rPr>
              <w:t>85.42%</w:t>
            </w:r>
          </w:p>
        </w:tc>
        <w:tc>
          <w:tcPr>
            <w:tcW w:w="1575" w:type="dxa"/>
            <w:tcBorders>
              <w:top w:val="single" w:sz="4" w:space="0" w:color="auto"/>
              <w:left w:val="single" w:sz="4" w:space="0" w:color="auto"/>
              <w:bottom w:val="single" w:sz="4" w:space="0" w:color="auto"/>
              <w:right w:val="single" w:sz="4" w:space="0" w:color="auto"/>
            </w:tcBorders>
            <w:vAlign w:val="center"/>
          </w:tcPr>
          <w:p w14:paraId="27AF988B" w14:textId="77777777" w:rsidR="00794DD3" w:rsidRPr="00517843" w:rsidRDefault="006219DA" w:rsidP="00027E42">
            <w:pPr>
              <w:pStyle w:val="NoSpacing"/>
              <w:jc w:val="center"/>
              <w:rPr>
                <w:rFonts w:ascii="Arial" w:hAnsi="Arial" w:cs="Arial"/>
              </w:rPr>
            </w:pPr>
            <w:r w:rsidRPr="62385CB5">
              <w:rPr>
                <w:rFonts w:ascii="Arial" w:hAnsi="Arial" w:cs="Arial"/>
              </w:rPr>
              <w:t>95%</w:t>
            </w:r>
          </w:p>
        </w:tc>
      </w:tr>
      <w:tr w:rsidR="00176ACB" w14:paraId="76CEA781" w14:textId="77777777" w:rsidTr="005976D8">
        <w:trPr>
          <w:trHeight w:val="474"/>
          <w:jc w:val="center"/>
        </w:trPr>
        <w:tc>
          <w:tcPr>
            <w:tcW w:w="2555" w:type="dxa"/>
            <w:tcBorders>
              <w:top w:val="single" w:sz="4" w:space="0" w:color="auto"/>
              <w:left w:val="single" w:sz="4" w:space="0" w:color="auto"/>
              <w:bottom w:val="single" w:sz="4" w:space="0" w:color="auto"/>
              <w:right w:val="single" w:sz="4" w:space="0" w:color="auto"/>
            </w:tcBorders>
            <w:hideMark/>
          </w:tcPr>
          <w:p w14:paraId="275204AB" w14:textId="1106C83C" w:rsidR="00794DD3" w:rsidRPr="00AB0D98" w:rsidRDefault="006219DA" w:rsidP="00EC7BBC">
            <w:pPr>
              <w:pStyle w:val="NoSpacing"/>
              <w:rPr>
                <w:rFonts w:ascii="Arial" w:hAnsi="Arial" w:cs="Arial"/>
              </w:rPr>
            </w:pPr>
            <w:r w:rsidRPr="00AB0D98">
              <w:rPr>
                <w:rFonts w:ascii="Arial" w:hAnsi="Arial" w:cs="Arial"/>
              </w:rPr>
              <w:t>Safety carriageway defects repaired within 5 working days (non-urgent)</w:t>
            </w:r>
          </w:p>
        </w:tc>
        <w:tc>
          <w:tcPr>
            <w:tcW w:w="1320" w:type="dxa"/>
            <w:tcBorders>
              <w:top w:val="single" w:sz="4" w:space="0" w:color="auto"/>
              <w:left w:val="single" w:sz="4" w:space="0" w:color="auto"/>
              <w:bottom w:val="single" w:sz="4" w:space="0" w:color="auto"/>
              <w:right w:val="single" w:sz="4" w:space="0" w:color="auto"/>
            </w:tcBorders>
            <w:hideMark/>
          </w:tcPr>
          <w:p w14:paraId="1089EEF0" w14:textId="77777777" w:rsidR="00794DD3" w:rsidRPr="00517843" w:rsidRDefault="006219DA" w:rsidP="0045224E">
            <w:pPr>
              <w:pStyle w:val="NoSpacing"/>
              <w:jc w:val="center"/>
              <w:rPr>
                <w:rFonts w:ascii="Arial" w:hAnsi="Arial" w:cs="Arial"/>
              </w:rPr>
            </w:pPr>
            <w:r w:rsidRPr="00517843">
              <w:rPr>
                <w:rFonts w:ascii="Arial" w:hAnsi="Arial" w:cs="Arial"/>
              </w:rPr>
              <w:t>Quarterly</w:t>
            </w:r>
          </w:p>
        </w:tc>
        <w:tc>
          <w:tcPr>
            <w:tcW w:w="1515" w:type="dxa"/>
            <w:tcBorders>
              <w:top w:val="single" w:sz="4" w:space="0" w:color="auto"/>
              <w:left w:val="single" w:sz="4" w:space="0" w:color="auto"/>
              <w:bottom w:val="single" w:sz="4" w:space="0" w:color="auto"/>
              <w:right w:val="single" w:sz="4" w:space="0" w:color="auto"/>
            </w:tcBorders>
          </w:tcPr>
          <w:p w14:paraId="16A0265C" w14:textId="77777777" w:rsidR="00794DD3" w:rsidRPr="00517843" w:rsidRDefault="006219DA" w:rsidP="00027E42">
            <w:pPr>
              <w:pStyle w:val="NoSpacing"/>
              <w:jc w:val="center"/>
              <w:rPr>
                <w:rFonts w:ascii="Arial" w:hAnsi="Arial" w:cs="Arial"/>
              </w:rPr>
            </w:pPr>
            <w:r w:rsidRPr="00517843">
              <w:rPr>
                <w:rFonts w:ascii="Arial" w:hAnsi="Arial" w:cs="Arial"/>
              </w:rPr>
              <w:t>Growth, Environment &amp; Transport</w:t>
            </w:r>
          </w:p>
        </w:tc>
        <w:tc>
          <w:tcPr>
            <w:tcW w:w="810" w:type="dxa"/>
            <w:tcBorders>
              <w:top w:val="single" w:sz="4" w:space="0" w:color="auto"/>
              <w:left w:val="single" w:sz="4" w:space="0" w:color="auto"/>
              <w:bottom w:val="single" w:sz="4" w:space="0" w:color="auto"/>
              <w:right w:val="single" w:sz="4" w:space="0" w:color="auto"/>
            </w:tcBorders>
          </w:tcPr>
          <w:p w14:paraId="18EC619B" w14:textId="77777777" w:rsidR="00794DD3" w:rsidRPr="00517843" w:rsidRDefault="006219DA" w:rsidP="00027E42">
            <w:pPr>
              <w:pStyle w:val="NoSpacing"/>
              <w:jc w:val="center"/>
              <w:rPr>
                <w:rFonts w:ascii="Arial" w:hAnsi="Arial" w:cs="Arial"/>
              </w:rPr>
            </w:pPr>
            <w:r w:rsidRPr="00517843">
              <w:rPr>
                <w:rFonts w:ascii="Arial" w:hAnsi="Arial" w:cs="Arial"/>
              </w:rPr>
              <w:t>High</w:t>
            </w: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3F69240B" w14:textId="77777777" w:rsidR="00794DD3" w:rsidRPr="000D1C6F" w:rsidRDefault="006219DA" w:rsidP="00027E42">
            <w:pPr>
              <w:pStyle w:val="NoSpacing"/>
              <w:jc w:val="center"/>
              <w:rPr>
                <w:rFonts w:ascii="Arial" w:hAnsi="Arial" w:cs="Arial"/>
                <w:color w:val="FFFFFF" w:themeColor="background1"/>
              </w:rPr>
            </w:pPr>
            <w:r w:rsidRPr="000D1C6F">
              <w:rPr>
                <w:rFonts w:ascii="Arial" w:hAnsi="Arial" w:cs="Arial"/>
                <w:color w:val="FFFFFF" w:themeColor="background1"/>
              </w:rPr>
              <w:t>86.06%</w:t>
            </w:r>
          </w:p>
        </w:tc>
        <w:tc>
          <w:tcPr>
            <w:tcW w:w="1260" w:type="dxa"/>
            <w:tcBorders>
              <w:top w:val="single" w:sz="4" w:space="0" w:color="auto"/>
              <w:left w:val="single" w:sz="4" w:space="0" w:color="auto"/>
              <w:bottom w:val="single" w:sz="4" w:space="0" w:color="auto"/>
              <w:right w:val="single" w:sz="4" w:space="0" w:color="auto"/>
            </w:tcBorders>
            <w:shd w:val="clear" w:color="auto" w:fill="FF0000"/>
            <w:vAlign w:val="center"/>
          </w:tcPr>
          <w:p w14:paraId="3F987E55" w14:textId="77777777" w:rsidR="00794DD3" w:rsidRPr="000D1C6F" w:rsidRDefault="006219DA" w:rsidP="00027E42">
            <w:pPr>
              <w:pStyle w:val="NoSpacing"/>
              <w:jc w:val="center"/>
              <w:rPr>
                <w:rFonts w:ascii="Arial" w:hAnsi="Arial" w:cs="Arial"/>
                <w:color w:val="FFFFFF" w:themeColor="background1"/>
              </w:rPr>
            </w:pPr>
            <w:r w:rsidRPr="000D1C6F">
              <w:rPr>
                <w:rFonts w:ascii="Arial" w:hAnsi="Arial" w:cs="Arial"/>
                <w:color w:val="FFFFFF" w:themeColor="background1"/>
              </w:rPr>
              <w:t>85.28%</w:t>
            </w:r>
          </w:p>
        </w:tc>
        <w:tc>
          <w:tcPr>
            <w:tcW w:w="1710" w:type="dxa"/>
            <w:tcBorders>
              <w:top w:val="single" w:sz="4" w:space="0" w:color="auto"/>
              <w:left w:val="single" w:sz="4" w:space="0" w:color="auto"/>
              <w:bottom w:val="single" w:sz="4" w:space="0" w:color="auto"/>
              <w:right w:val="single" w:sz="4" w:space="0" w:color="auto"/>
            </w:tcBorders>
            <w:shd w:val="clear" w:color="auto" w:fill="FF0000"/>
            <w:vAlign w:val="center"/>
          </w:tcPr>
          <w:p w14:paraId="58334F88" w14:textId="77777777" w:rsidR="00794DD3" w:rsidRPr="000D1C6F" w:rsidRDefault="006219DA" w:rsidP="00027E42">
            <w:pPr>
              <w:pStyle w:val="NoSpacing"/>
              <w:jc w:val="center"/>
              <w:rPr>
                <w:rFonts w:ascii="Arial" w:hAnsi="Arial" w:cs="Arial"/>
                <w:color w:val="FFFFFF" w:themeColor="background1"/>
              </w:rPr>
            </w:pPr>
            <w:r w:rsidRPr="000D1C6F">
              <w:rPr>
                <w:rFonts w:ascii="Arial" w:hAnsi="Arial" w:cs="Arial"/>
                <w:color w:val="FFFFFF" w:themeColor="background1"/>
              </w:rPr>
              <w:t>79.2%</w:t>
            </w:r>
          </w:p>
        </w:tc>
        <w:tc>
          <w:tcPr>
            <w:tcW w:w="15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37EE747" w14:textId="14649751" w:rsidR="00794DD3" w:rsidRPr="00027E42" w:rsidRDefault="006219DA" w:rsidP="005976D8">
            <w:pPr>
              <w:pStyle w:val="NoSpacing"/>
              <w:jc w:val="center"/>
              <w:rPr>
                <w:rFonts w:ascii="Arial" w:hAnsi="Arial" w:cs="Arial"/>
              </w:rPr>
            </w:pPr>
            <w:r w:rsidRPr="00027E42">
              <w:rPr>
                <w:rFonts w:ascii="Arial" w:hAnsi="Arial" w:cs="Arial"/>
              </w:rPr>
              <w:t>87.29%</w:t>
            </w:r>
          </w:p>
        </w:tc>
        <w:tc>
          <w:tcPr>
            <w:tcW w:w="1575" w:type="dxa"/>
            <w:tcBorders>
              <w:top w:val="single" w:sz="4" w:space="0" w:color="auto"/>
              <w:left w:val="single" w:sz="4" w:space="0" w:color="auto"/>
              <w:bottom w:val="single" w:sz="4" w:space="0" w:color="auto"/>
              <w:right w:val="single" w:sz="4" w:space="0" w:color="auto"/>
            </w:tcBorders>
            <w:vAlign w:val="center"/>
          </w:tcPr>
          <w:p w14:paraId="767B6495" w14:textId="77777777" w:rsidR="00794DD3" w:rsidRPr="00517843" w:rsidRDefault="006219DA" w:rsidP="00027E42">
            <w:pPr>
              <w:pStyle w:val="NoSpacing"/>
              <w:jc w:val="center"/>
              <w:rPr>
                <w:rFonts w:ascii="Arial" w:hAnsi="Arial" w:cs="Arial"/>
              </w:rPr>
            </w:pPr>
            <w:r w:rsidRPr="62385CB5">
              <w:rPr>
                <w:rFonts w:ascii="Arial" w:hAnsi="Arial" w:cs="Arial"/>
              </w:rPr>
              <w:t>90%</w:t>
            </w:r>
          </w:p>
        </w:tc>
      </w:tr>
      <w:tr w:rsidR="00176ACB" w14:paraId="2ADEC45B" w14:textId="77777777" w:rsidTr="000D1C6F">
        <w:trPr>
          <w:trHeight w:val="474"/>
          <w:jc w:val="center"/>
        </w:trPr>
        <w:tc>
          <w:tcPr>
            <w:tcW w:w="2555" w:type="dxa"/>
            <w:tcBorders>
              <w:top w:val="single" w:sz="4" w:space="0" w:color="auto"/>
              <w:left w:val="single" w:sz="4" w:space="0" w:color="auto"/>
              <w:bottom w:val="single" w:sz="4" w:space="0" w:color="auto"/>
              <w:right w:val="single" w:sz="4" w:space="0" w:color="auto"/>
            </w:tcBorders>
            <w:hideMark/>
          </w:tcPr>
          <w:p w14:paraId="70FCF7F8" w14:textId="77777777" w:rsidR="00794DD3" w:rsidRPr="00AB0D98" w:rsidRDefault="006219DA" w:rsidP="00AB6544">
            <w:pPr>
              <w:pStyle w:val="NoSpacing"/>
              <w:rPr>
                <w:rFonts w:ascii="Arial" w:hAnsi="Arial" w:cs="Arial"/>
              </w:rPr>
            </w:pPr>
            <w:r w:rsidRPr="00AB0D98">
              <w:rPr>
                <w:rFonts w:ascii="Arial" w:hAnsi="Arial" w:cs="Arial"/>
              </w:rPr>
              <w:t>Safety carriageway defects repaired within 20 working days (non-urgent)</w:t>
            </w:r>
          </w:p>
        </w:tc>
        <w:tc>
          <w:tcPr>
            <w:tcW w:w="1320" w:type="dxa"/>
            <w:tcBorders>
              <w:top w:val="single" w:sz="4" w:space="0" w:color="auto"/>
              <w:left w:val="single" w:sz="4" w:space="0" w:color="auto"/>
              <w:bottom w:val="single" w:sz="4" w:space="0" w:color="auto"/>
              <w:right w:val="single" w:sz="4" w:space="0" w:color="auto"/>
            </w:tcBorders>
            <w:hideMark/>
          </w:tcPr>
          <w:p w14:paraId="33C1EBE4" w14:textId="77777777" w:rsidR="00794DD3" w:rsidRPr="00517843" w:rsidRDefault="006219DA" w:rsidP="0045224E">
            <w:pPr>
              <w:pStyle w:val="NoSpacing"/>
              <w:jc w:val="center"/>
              <w:rPr>
                <w:rFonts w:ascii="Arial" w:hAnsi="Arial" w:cs="Arial"/>
              </w:rPr>
            </w:pPr>
            <w:r w:rsidRPr="00517843">
              <w:rPr>
                <w:rFonts w:ascii="Arial" w:hAnsi="Arial" w:cs="Arial"/>
              </w:rPr>
              <w:t>Quarterly</w:t>
            </w:r>
          </w:p>
        </w:tc>
        <w:tc>
          <w:tcPr>
            <w:tcW w:w="1515" w:type="dxa"/>
            <w:tcBorders>
              <w:top w:val="single" w:sz="4" w:space="0" w:color="auto"/>
              <w:left w:val="single" w:sz="4" w:space="0" w:color="auto"/>
              <w:bottom w:val="single" w:sz="4" w:space="0" w:color="auto"/>
              <w:right w:val="single" w:sz="4" w:space="0" w:color="auto"/>
            </w:tcBorders>
          </w:tcPr>
          <w:p w14:paraId="31835AFA" w14:textId="77777777" w:rsidR="00794DD3" w:rsidRPr="00517843" w:rsidRDefault="006219DA" w:rsidP="00AB6544">
            <w:pPr>
              <w:pStyle w:val="NoSpacing"/>
              <w:rPr>
                <w:rFonts w:ascii="Arial" w:hAnsi="Arial" w:cs="Arial"/>
              </w:rPr>
            </w:pPr>
            <w:r w:rsidRPr="00517843">
              <w:rPr>
                <w:rFonts w:ascii="Arial" w:hAnsi="Arial" w:cs="Arial"/>
              </w:rPr>
              <w:t>Growth, Environment &amp; Transport</w:t>
            </w:r>
          </w:p>
        </w:tc>
        <w:tc>
          <w:tcPr>
            <w:tcW w:w="810" w:type="dxa"/>
            <w:tcBorders>
              <w:top w:val="single" w:sz="4" w:space="0" w:color="auto"/>
              <w:left w:val="single" w:sz="4" w:space="0" w:color="auto"/>
              <w:bottom w:val="single" w:sz="4" w:space="0" w:color="auto"/>
              <w:right w:val="single" w:sz="4" w:space="0" w:color="auto"/>
            </w:tcBorders>
          </w:tcPr>
          <w:p w14:paraId="1745F7CC" w14:textId="77777777" w:rsidR="00794DD3" w:rsidRPr="00517843" w:rsidRDefault="006219DA" w:rsidP="00256874">
            <w:pPr>
              <w:pStyle w:val="NoSpacing"/>
              <w:jc w:val="center"/>
              <w:rPr>
                <w:rFonts w:ascii="Arial" w:hAnsi="Arial" w:cs="Arial"/>
              </w:rPr>
            </w:pPr>
            <w:r w:rsidRPr="00517843">
              <w:rPr>
                <w:rFonts w:ascii="Arial" w:hAnsi="Arial" w:cs="Arial"/>
              </w:rPr>
              <w:t>High</w:t>
            </w:r>
          </w:p>
        </w:tc>
        <w:tc>
          <w:tcPr>
            <w:tcW w:w="14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4011D1" w14:textId="77777777" w:rsidR="00794DD3" w:rsidRPr="00DE5D47" w:rsidRDefault="006219DA" w:rsidP="00AB6544">
            <w:pPr>
              <w:pStyle w:val="NoSpacing"/>
              <w:jc w:val="center"/>
              <w:rPr>
                <w:rFonts w:ascii="Arial" w:hAnsi="Arial" w:cs="Arial"/>
              </w:rPr>
            </w:pPr>
            <w:r w:rsidRPr="62385CB5">
              <w:rPr>
                <w:rFonts w:ascii="Arial" w:hAnsi="Arial" w:cs="Arial"/>
              </w:rPr>
              <w:t>94.29%</w:t>
            </w:r>
          </w:p>
        </w:tc>
        <w:tc>
          <w:tcPr>
            <w:tcW w:w="12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EF86E6C" w14:textId="77777777" w:rsidR="00794DD3" w:rsidRPr="00DE5D47" w:rsidRDefault="006219DA" w:rsidP="00AB6544">
            <w:pPr>
              <w:pStyle w:val="NoSpacing"/>
              <w:jc w:val="center"/>
              <w:rPr>
                <w:rFonts w:ascii="Arial" w:hAnsi="Arial" w:cs="Arial"/>
              </w:rPr>
            </w:pPr>
            <w:r w:rsidRPr="62385CB5">
              <w:rPr>
                <w:rFonts w:ascii="Arial" w:hAnsi="Arial" w:cs="Arial"/>
              </w:rPr>
              <w:t>90.14%</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B0E380" w14:textId="77777777" w:rsidR="00794DD3" w:rsidRDefault="006219DA" w:rsidP="00AB6544">
            <w:pPr>
              <w:pStyle w:val="NoSpacing"/>
              <w:jc w:val="center"/>
            </w:pPr>
            <w:r w:rsidRPr="62385CB5">
              <w:rPr>
                <w:rFonts w:ascii="Arial" w:hAnsi="Arial" w:cs="Arial"/>
              </w:rPr>
              <w:t>95.42%</w:t>
            </w:r>
          </w:p>
        </w:tc>
        <w:tc>
          <w:tcPr>
            <w:tcW w:w="157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C147D2B" w14:textId="0B048E66" w:rsidR="00794DD3" w:rsidRPr="00027E42" w:rsidRDefault="006219DA" w:rsidP="000D1C6F">
            <w:pPr>
              <w:pStyle w:val="NoSpacing"/>
              <w:jc w:val="center"/>
              <w:rPr>
                <w:rFonts w:ascii="Arial" w:hAnsi="Arial" w:cs="Arial"/>
              </w:rPr>
            </w:pPr>
            <w:r w:rsidRPr="00027E42">
              <w:rPr>
                <w:rFonts w:ascii="Arial" w:hAnsi="Arial" w:cs="Arial"/>
              </w:rPr>
              <w:t>94.53%</w:t>
            </w:r>
          </w:p>
        </w:tc>
        <w:tc>
          <w:tcPr>
            <w:tcW w:w="1575" w:type="dxa"/>
            <w:tcBorders>
              <w:top w:val="single" w:sz="4" w:space="0" w:color="auto"/>
              <w:left w:val="single" w:sz="4" w:space="0" w:color="auto"/>
              <w:bottom w:val="single" w:sz="4" w:space="0" w:color="auto"/>
              <w:right w:val="single" w:sz="4" w:space="0" w:color="auto"/>
            </w:tcBorders>
            <w:vAlign w:val="center"/>
          </w:tcPr>
          <w:p w14:paraId="0912A208" w14:textId="77777777" w:rsidR="00794DD3" w:rsidRPr="00517843" w:rsidRDefault="006219DA" w:rsidP="00AB6544">
            <w:pPr>
              <w:pStyle w:val="NoSpacing"/>
              <w:jc w:val="center"/>
              <w:rPr>
                <w:rFonts w:ascii="Arial" w:hAnsi="Arial" w:cs="Arial"/>
              </w:rPr>
            </w:pPr>
            <w:r w:rsidRPr="62385CB5">
              <w:rPr>
                <w:rFonts w:ascii="Arial" w:hAnsi="Arial" w:cs="Arial"/>
              </w:rPr>
              <w:t>90%</w:t>
            </w:r>
          </w:p>
        </w:tc>
      </w:tr>
      <w:tr w:rsidR="00176ACB" w14:paraId="57F0DD54" w14:textId="77777777" w:rsidTr="0015748B">
        <w:trPr>
          <w:trHeight w:val="474"/>
          <w:jc w:val="center"/>
        </w:trPr>
        <w:tc>
          <w:tcPr>
            <w:tcW w:w="2555" w:type="dxa"/>
            <w:tcBorders>
              <w:top w:val="single" w:sz="4" w:space="0" w:color="auto"/>
              <w:left w:val="single" w:sz="4" w:space="0" w:color="auto"/>
              <w:bottom w:val="single" w:sz="4" w:space="0" w:color="auto"/>
              <w:right w:val="single" w:sz="4" w:space="0" w:color="auto"/>
            </w:tcBorders>
          </w:tcPr>
          <w:p w14:paraId="3F1F9A6B" w14:textId="77777777" w:rsidR="00794DD3" w:rsidRPr="00AB0D98" w:rsidRDefault="006219DA" w:rsidP="00AB6544">
            <w:pPr>
              <w:pStyle w:val="NoSpacing"/>
              <w:rPr>
                <w:rFonts w:ascii="Arial" w:hAnsi="Arial" w:cs="Arial"/>
                <w:color w:val="000000"/>
              </w:rPr>
            </w:pPr>
            <w:r w:rsidRPr="00AB0D98">
              <w:rPr>
                <w:rFonts w:ascii="Arial" w:hAnsi="Arial" w:cs="Arial"/>
                <w:color w:val="000000"/>
              </w:rPr>
              <w:t>Percentage of Non-Traffic Management (NTM) lamp-out faults repaired within 5 working days</w:t>
            </w:r>
          </w:p>
        </w:tc>
        <w:tc>
          <w:tcPr>
            <w:tcW w:w="1320" w:type="dxa"/>
            <w:tcBorders>
              <w:top w:val="single" w:sz="4" w:space="0" w:color="auto"/>
              <w:left w:val="single" w:sz="4" w:space="0" w:color="auto"/>
              <w:bottom w:val="single" w:sz="4" w:space="0" w:color="auto"/>
              <w:right w:val="single" w:sz="4" w:space="0" w:color="auto"/>
            </w:tcBorders>
          </w:tcPr>
          <w:p w14:paraId="3A73E006" w14:textId="77777777" w:rsidR="00794DD3" w:rsidRPr="00517843" w:rsidRDefault="006219DA" w:rsidP="0045224E">
            <w:pPr>
              <w:pStyle w:val="NoSpacing"/>
              <w:jc w:val="center"/>
              <w:rPr>
                <w:rFonts w:ascii="Arial" w:hAnsi="Arial" w:cs="Arial"/>
              </w:rPr>
            </w:pPr>
            <w:r w:rsidRPr="00517843">
              <w:rPr>
                <w:rFonts w:ascii="Arial" w:hAnsi="Arial" w:cs="Arial"/>
              </w:rPr>
              <w:t>Quarterly</w:t>
            </w:r>
          </w:p>
        </w:tc>
        <w:tc>
          <w:tcPr>
            <w:tcW w:w="1515" w:type="dxa"/>
            <w:tcBorders>
              <w:top w:val="single" w:sz="4" w:space="0" w:color="auto"/>
              <w:left w:val="single" w:sz="4" w:space="0" w:color="auto"/>
              <w:bottom w:val="single" w:sz="4" w:space="0" w:color="auto"/>
              <w:right w:val="single" w:sz="4" w:space="0" w:color="auto"/>
            </w:tcBorders>
          </w:tcPr>
          <w:p w14:paraId="0A662844" w14:textId="77777777" w:rsidR="00794DD3" w:rsidRPr="00517843" w:rsidRDefault="006219DA" w:rsidP="00AB6544">
            <w:pPr>
              <w:pStyle w:val="NoSpacing"/>
              <w:rPr>
                <w:rFonts w:ascii="Arial" w:hAnsi="Arial" w:cs="Arial"/>
              </w:rPr>
            </w:pPr>
            <w:r w:rsidRPr="00517843">
              <w:rPr>
                <w:rFonts w:ascii="Arial" w:hAnsi="Arial" w:cs="Arial"/>
              </w:rPr>
              <w:t>Growth, Environment &amp; Transport</w:t>
            </w:r>
          </w:p>
        </w:tc>
        <w:tc>
          <w:tcPr>
            <w:tcW w:w="810" w:type="dxa"/>
            <w:tcBorders>
              <w:top w:val="single" w:sz="4" w:space="0" w:color="auto"/>
              <w:left w:val="single" w:sz="4" w:space="0" w:color="auto"/>
              <w:bottom w:val="single" w:sz="4" w:space="0" w:color="auto"/>
              <w:right w:val="single" w:sz="4" w:space="0" w:color="auto"/>
            </w:tcBorders>
          </w:tcPr>
          <w:p w14:paraId="44A3E1C6" w14:textId="77777777" w:rsidR="00794DD3" w:rsidRPr="00517843" w:rsidRDefault="006219DA" w:rsidP="00256874">
            <w:pPr>
              <w:pStyle w:val="NoSpacing"/>
              <w:jc w:val="center"/>
              <w:rPr>
                <w:rFonts w:ascii="Arial" w:hAnsi="Arial" w:cs="Arial"/>
              </w:rPr>
            </w:pPr>
            <w:r>
              <w:rPr>
                <w:rFonts w:ascii="Arial" w:hAnsi="Arial" w:cs="Arial"/>
              </w:rPr>
              <w:t>High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193A00" w14:textId="77777777" w:rsidR="00794DD3" w:rsidRPr="00E12711" w:rsidRDefault="006219DA" w:rsidP="00AB6544">
            <w:pPr>
              <w:pStyle w:val="NoSpacing"/>
              <w:jc w:val="center"/>
              <w:rPr>
                <w:rFonts w:ascii="Arial" w:hAnsi="Arial" w:cs="Arial"/>
                <w:color w:val="FFFFFF" w:themeColor="background1"/>
              </w:rPr>
            </w:pPr>
            <w:r w:rsidRPr="62385CB5">
              <w:rPr>
                <w:rFonts w:ascii="Arial" w:hAnsi="Arial" w:cs="Arial"/>
              </w:rPr>
              <w:t>New quarterly measures starting from Q1 2020/21</w:t>
            </w:r>
          </w:p>
        </w:tc>
        <w:tc>
          <w:tcPr>
            <w:tcW w:w="12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D30060" w14:textId="77777777" w:rsidR="00794DD3" w:rsidRPr="00E12711" w:rsidRDefault="006219DA" w:rsidP="00AB6544">
            <w:pPr>
              <w:pStyle w:val="NoSpacing"/>
              <w:jc w:val="center"/>
              <w:rPr>
                <w:rFonts w:ascii="Arial" w:hAnsi="Arial" w:cs="Arial"/>
              </w:rPr>
            </w:pPr>
            <w:r w:rsidRPr="62385CB5">
              <w:rPr>
                <w:rFonts w:ascii="Arial" w:hAnsi="Arial" w:cs="Arial"/>
              </w:rPr>
              <w:t>91%</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1C20558" w14:textId="77777777" w:rsidR="00794DD3" w:rsidRDefault="006219DA" w:rsidP="00AB6544">
            <w:pPr>
              <w:pStyle w:val="NoSpacing"/>
              <w:jc w:val="center"/>
              <w:rPr>
                <w:rFonts w:ascii="Arial" w:hAnsi="Arial" w:cs="Arial"/>
              </w:rPr>
            </w:pPr>
            <w:r w:rsidRPr="62385CB5">
              <w:rPr>
                <w:rFonts w:ascii="Arial" w:hAnsi="Arial" w:cs="Arial"/>
              </w:rPr>
              <w:t>97%</w:t>
            </w:r>
          </w:p>
        </w:tc>
        <w:tc>
          <w:tcPr>
            <w:tcW w:w="157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B53C9BA" w14:textId="53B48F7A" w:rsidR="00794DD3" w:rsidRPr="00186478" w:rsidRDefault="006219DA" w:rsidP="0015748B">
            <w:pPr>
              <w:pStyle w:val="NoSpacing"/>
              <w:jc w:val="center"/>
              <w:rPr>
                <w:rFonts w:ascii="Arial" w:hAnsi="Arial" w:cs="Arial"/>
              </w:rPr>
            </w:pPr>
            <w:r w:rsidRPr="00186478">
              <w:rPr>
                <w:rFonts w:ascii="Arial" w:hAnsi="Arial" w:cs="Arial"/>
              </w:rPr>
              <w:t>97%</w:t>
            </w:r>
          </w:p>
        </w:tc>
        <w:tc>
          <w:tcPr>
            <w:tcW w:w="1575" w:type="dxa"/>
            <w:tcBorders>
              <w:top w:val="single" w:sz="4" w:space="0" w:color="auto"/>
              <w:left w:val="single" w:sz="4" w:space="0" w:color="auto"/>
              <w:bottom w:val="single" w:sz="4" w:space="0" w:color="auto"/>
              <w:right w:val="single" w:sz="4" w:space="0" w:color="auto"/>
            </w:tcBorders>
            <w:vAlign w:val="center"/>
          </w:tcPr>
          <w:p w14:paraId="486EA65B" w14:textId="77777777" w:rsidR="00794DD3" w:rsidRDefault="006219DA" w:rsidP="00AB6544">
            <w:pPr>
              <w:pStyle w:val="NoSpacing"/>
              <w:jc w:val="center"/>
              <w:rPr>
                <w:rFonts w:ascii="Arial" w:hAnsi="Arial" w:cs="Arial"/>
              </w:rPr>
            </w:pPr>
            <w:r w:rsidRPr="62385CB5">
              <w:rPr>
                <w:rFonts w:ascii="Arial" w:hAnsi="Arial" w:cs="Arial"/>
              </w:rPr>
              <w:t>90% within 5 working days</w:t>
            </w:r>
          </w:p>
        </w:tc>
      </w:tr>
      <w:tr w:rsidR="00176ACB" w14:paraId="14A08A78" w14:textId="77777777" w:rsidTr="00256874">
        <w:trPr>
          <w:trHeight w:val="474"/>
          <w:jc w:val="center"/>
        </w:trPr>
        <w:tc>
          <w:tcPr>
            <w:tcW w:w="2555" w:type="dxa"/>
            <w:tcBorders>
              <w:top w:val="single" w:sz="4" w:space="0" w:color="auto"/>
              <w:left w:val="single" w:sz="4" w:space="0" w:color="auto"/>
              <w:bottom w:val="single" w:sz="4" w:space="0" w:color="auto"/>
              <w:right w:val="single" w:sz="4" w:space="0" w:color="auto"/>
            </w:tcBorders>
          </w:tcPr>
          <w:p w14:paraId="4E67CB69" w14:textId="371C5677" w:rsidR="00794DD3" w:rsidRPr="00AB0D98" w:rsidRDefault="006219DA" w:rsidP="00AB6544">
            <w:pPr>
              <w:pStyle w:val="NoSpacing"/>
              <w:rPr>
                <w:rFonts w:ascii="Arial" w:hAnsi="Arial" w:cs="Arial"/>
              </w:rPr>
            </w:pPr>
            <w:r w:rsidRPr="00AB0D98">
              <w:rPr>
                <w:rFonts w:ascii="Arial" w:hAnsi="Arial" w:cs="Arial"/>
                <w:color w:val="000000"/>
              </w:rPr>
              <w:t xml:space="preserve">Percentage of Traffic Management </w:t>
            </w:r>
            <w:r w:rsidR="00186478">
              <w:rPr>
                <w:rFonts w:ascii="Arial" w:hAnsi="Arial" w:cs="Arial"/>
                <w:color w:val="000000"/>
              </w:rPr>
              <w:t>™</w:t>
            </w:r>
            <w:r w:rsidRPr="00AB0D98">
              <w:rPr>
                <w:rFonts w:ascii="Arial" w:hAnsi="Arial" w:cs="Arial"/>
                <w:color w:val="000000"/>
              </w:rPr>
              <w:t xml:space="preserve"> lamp-out faults repaired within 20 working days</w:t>
            </w:r>
          </w:p>
        </w:tc>
        <w:tc>
          <w:tcPr>
            <w:tcW w:w="1320" w:type="dxa"/>
            <w:tcBorders>
              <w:top w:val="single" w:sz="4" w:space="0" w:color="auto"/>
              <w:left w:val="single" w:sz="4" w:space="0" w:color="auto"/>
              <w:bottom w:val="single" w:sz="4" w:space="0" w:color="auto"/>
              <w:right w:val="single" w:sz="4" w:space="0" w:color="auto"/>
            </w:tcBorders>
          </w:tcPr>
          <w:p w14:paraId="5B4BF3F9" w14:textId="38E42B18" w:rsidR="00794DD3" w:rsidRPr="00517843" w:rsidRDefault="006219DA" w:rsidP="0045224E">
            <w:pPr>
              <w:pStyle w:val="NoSpacing"/>
              <w:jc w:val="center"/>
              <w:rPr>
                <w:rFonts w:ascii="Arial" w:hAnsi="Arial" w:cs="Arial"/>
              </w:rPr>
            </w:pPr>
            <w:r w:rsidRPr="00517843">
              <w:rPr>
                <w:rFonts w:ascii="Arial" w:hAnsi="Arial" w:cs="Arial"/>
              </w:rPr>
              <w:t>Quarterly</w:t>
            </w:r>
          </w:p>
        </w:tc>
        <w:tc>
          <w:tcPr>
            <w:tcW w:w="1515" w:type="dxa"/>
            <w:tcBorders>
              <w:top w:val="single" w:sz="4" w:space="0" w:color="auto"/>
              <w:left w:val="single" w:sz="4" w:space="0" w:color="auto"/>
              <w:bottom w:val="single" w:sz="4" w:space="0" w:color="auto"/>
              <w:right w:val="single" w:sz="4" w:space="0" w:color="auto"/>
            </w:tcBorders>
          </w:tcPr>
          <w:p w14:paraId="0BDB7366" w14:textId="77777777" w:rsidR="00794DD3" w:rsidRPr="00517843" w:rsidRDefault="006219DA" w:rsidP="00AB6544">
            <w:pPr>
              <w:pStyle w:val="NoSpacing"/>
              <w:rPr>
                <w:rFonts w:ascii="Arial" w:hAnsi="Arial" w:cs="Arial"/>
              </w:rPr>
            </w:pPr>
            <w:r w:rsidRPr="00517843">
              <w:rPr>
                <w:rFonts w:ascii="Arial" w:hAnsi="Arial" w:cs="Arial"/>
              </w:rPr>
              <w:t>Growth, Environment &amp; Transport</w:t>
            </w:r>
          </w:p>
        </w:tc>
        <w:tc>
          <w:tcPr>
            <w:tcW w:w="810" w:type="dxa"/>
            <w:tcBorders>
              <w:top w:val="single" w:sz="4" w:space="0" w:color="auto"/>
              <w:left w:val="single" w:sz="4" w:space="0" w:color="auto"/>
              <w:bottom w:val="single" w:sz="4" w:space="0" w:color="auto"/>
              <w:right w:val="single" w:sz="4" w:space="0" w:color="auto"/>
            </w:tcBorders>
          </w:tcPr>
          <w:p w14:paraId="3B2D327C" w14:textId="77777777" w:rsidR="00794DD3" w:rsidRPr="00517843" w:rsidRDefault="006219DA" w:rsidP="00256874">
            <w:pPr>
              <w:pStyle w:val="NoSpacing"/>
              <w:jc w:val="center"/>
              <w:rPr>
                <w:rFonts w:ascii="Arial" w:hAnsi="Arial" w:cs="Arial"/>
              </w:rPr>
            </w:pPr>
            <w:r>
              <w:rPr>
                <w:rFonts w:ascii="Arial" w:hAnsi="Arial" w:cs="Arial"/>
              </w:rPr>
              <w:t>High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F697D6" w14:textId="77777777" w:rsidR="00794DD3" w:rsidRDefault="006219DA" w:rsidP="00AB6544">
            <w:pPr>
              <w:pStyle w:val="NoSpacing"/>
              <w:jc w:val="center"/>
              <w:rPr>
                <w:rFonts w:ascii="Arial" w:hAnsi="Arial" w:cs="Arial"/>
              </w:rPr>
            </w:pPr>
            <w:r w:rsidRPr="62385CB5">
              <w:rPr>
                <w:rFonts w:ascii="Arial" w:hAnsi="Arial" w:cs="Arial"/>
              </w:rPr>
              <w:t>New quarterly measures starting from Q1 2020/21</w:t>
            </w:r>
          </w:p>
        </w:tc>
        <w:tc>
          <w:tcPr>
            <w:tcW w:w="12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22BCFF3" w14:textId="77777777" w:rsidR="00794DD3" w:rsidRDefault="006219DA" w:rsidP="00AB6544">
            <w:pPr>
              <w:pStyle w:val="NoSpacing"/>
              <w:jc w:val="center"/>
              <w:rPr>
                <w:rFonts w:ascii="Arial" w:hAnsi="Arial" w:cs="Arial"/>
              </w:rPr>
            </w:pPr>
            <w:r w:rsidRPr="62385CB5">
              <w:rPr>
                <w:rFonts w:ascii="Arial" w:hAnsi="Arial" w:cs="Arial"/>
              </w:rPr>
              <w:t>89%</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5D563A3" w14:textId="77777777" w:rsidR="00794DD3" w:rsidRDefault="006219DA" w:rsidP="00AB6544">
            <w:pPr>
              <w:pStyle w:val="NoSpacing"/>
              <w:jc w:val="center"/>
              <w:rPr>
                <w:rFonts w:ascii="Arial" w:hAnsi="Arial" w:cs="Arial"/>
              </w:rPr>
            </w:pPr>
            <w:r w:rsidRPr="62385CB5">
              <w:rPr>
                <w:rFonts w:ascii="Arial" w:hAnsi="Arial" w:cs="Arial"/>
              </w:rPr>
              <w:t>100%</w:t>
            </w:r>
          </w:p>
        </w:tc>
        <w:tc>
          <w:tcPr>
            <w:tcW w:w="157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5C2D33" w14:textId="552DDB76" w:rsidR="00794DD3" w:rsidRPr="00186478" w:rsidRDefault="006219DA" w:rsidP="00256874">
            <w:pPr>
              <w:pStyle w:val="NoSpacing"/>
              <w:jc w:val="center"/>
              <w:rPr>
                <w:rFonts w:ascii="Arial" w:hAnsi="Arial" w:cs="Arial"/>
              </w:rPr>
            </w:pPr>
            <w:r w:rsidRPr="00186478">
              <w:rPr>
                <w:rFonts w:ascii="Arial" w:hAnsi="Arial" w:cs="Arial"/>
              </w:rPr>
              <w:t>98%</w:t>
            </w:r>
          </w:p>
        </w:tc>
        <w:tc>
          <w:tcPr>
            <w:tcW w:w="1575" w:type="dxa"/>
            <w:tcBorders>
              <w:top w:val="single" w:sz="4" w:space="0" w:color="auto"/>
              <w:left w:val="single" w:sz="4" w:space="0" w:color="auto"/>
              <w:bottom w:val="single" w:sz="4" w:space="0" w:color="auto"/>
              <w:right w:val="single" w:sz="4" w:space="0" w:color="auto"/>
            </w:tcBorders>
            <w:vAlign w:val="center"/>
          </w:tcPr>
          <w:p w14:paraId="193EADDC" w14:textId="77777777" w:rsidR="00794DD3" w:rsidRPr="00517843" w:rsidRDefault="006219DA" w:rsidP="00AB6544">
            <w:pPr>
              <w:pStyle w:val="NoSpacing"/>
              <w:jc w:val="center"/>
              <w:rPr>
                <w:rFonts w:ascii="Arial" w:hAnsi="Arial" w:cs="Arial"/>
              </w:rPr>
            </w:pPr>
            <w:r w:rsidRPr="62385CB5">
              <w:rPr>
                <w:rFonts w:ascii="Arial" w:hAnsi="Arial" w:cs="Arial"/>
              </w:rPr>
              <w:t>90% within 20 working days</w:t>
            </w:r>
          </w:p>
        </w:tc>
      </w:tr>
    </w:tbl>
    <w:p w14:paraId="581BD536" w14:textId="28373BB1" w:rsidR="00027E42" w:rsidRPr="00CC48FB" w:rsidRDefault="006219DA" w:rsidP="00243AF1">
      <w:pPr>
        <w:pStyle w:val="Style1"/>
        <w:rPr>
          <w:b w:val="0"/>
          <w:bCs w:val="0"/>
        </w:rPr>
      </w:pPr>
      <w:r w:rsidRPr="00CC48FB">
        <w:lastRenderedPageBreak/>
        <w:t>Safety carriageway defects.</w:t>
      </w:r>
      <w:r w:rsidRPr="00CC48FB">
        <w:rPr>
          <w:b w:val="0"/>
          <w:bCs w:val="0"/>
        </w:rPr>
        <w:t xml:space="preserve"> Quarter 2</w:t>
      </w:r>
      <w:r w:rsidR="00D11B9E">
        <w:rPr>
          <w:b w:val="0"/>
          <w:bCs w:val="0"/>
        </w:rPr>
        <w:t xml:space="preserve"> (Q2)</w:t>
      </w:r>
      <w:r w:rsidRPr="00CC48FB">
        <w:rPr>
          <w:b w:val="0"/>
          <w:bCs w:val="0"/>
        </w:rPr>
        <w:t xml:space="preserve"> 2021/22 has seen a continuation of the increase in defects reported both by Highways Service Inspection (HSI) and the public. To date, compared to 2019 data, there has been a 32% increase in HSI reported defects and a 58% increase in public reported defects. Increased numbers of defects have been found predominantly in the 10 and 20-day category for both HSI and public reports. These relate to </w:t>
      </w:r>
      <w:r w:rsidR="00090445" w:rsidRPr="00CC48FB">
        <w:rPr>
          <w:b w:val="0"/>
          <w:bCs w:val="0"/>
        </w:rPr>
        <w:t>s</w:t>
      </w:r>
      <w:r w:rsidRPr="00CC48FB">
        <w:rPr>
          <w:b w:val="0"/>
          <w:bCs w:val="0"/>
        </w:rPr>
        <w:t xml:space="preserve">econdary distributor/ B&amp;C class roads and link roads (10 day 3 and 6 monthly inspections) and </w:t>
      </w:r>
      <w:r w:rsidR="00090445" w:rsidRPr="00CC48FB">
        <w:rPr>
          <w:b w:val="0"/>
          <w:bCs w:val="0"/>
        </w:rPr>
        <w:t>l</w:t>
      </w:r>
      <w:r w:rsidRPr="00CC48FB">
        <w:rPr>
          <w:b w:val="0"/>
          <w:bCs w:val="0"/>
        </w:rPr>
        <w:t>ocal access roads/ unclassified roads (20-day 12 monthly inspections). </w:t>
      </w:r>
    </w:p>
    <w:p w14:paraId="16034D99" w14:textId="77777777" w:rsidR="00027E42" w:rsidRPr="00CC48FB" w:rsidRDefault="00027E42" w:rsidP="00243AF1">
      <w:pPr>
        <w:pStyle w:val="Style1"/>
        <w:rPr>
          <w:b w:val="0"/>
          <w:bCs w:val="0"/>
        </w:rPr>
      </w:pPr>
    </w:p>
    <w:p w14:paraId="3ECF6ABC" w14:textId="6392E90C" w:rsidR="00027E42" w:rsidRPr="00CC48FB" w:rsidRDefault="006219DA" w:rsidP="00243AF1">
      <w:pPr>
        <w:pStyle w:val="Style1"/>
        <w:rPr>
          <w:b w:val="0"/>
          <w:bCs w:val="0"/>
        </w:rPr>
      </w:pPr>
      <w:r w:rsidRPr="00CC48FB">
        <w:rPr>
          <w:b w:val="0"/>
          <w:bCs w:val="0"/>
        </w:rPr>
        <w:t>September figures show improved performance as increased resources were deployed to respond to the increased demand. </w:t>
      </w:r>
    </w:p>
    <w:p w14:paraId="1A218E49" w14:textId="363E7A46" w:rsidR="001400A4" w:rsidRDefault="001400A4" w:rsidP="4E6013FB">
      <w:pPr>
        <w:rPr>
          <w:rFonts w:eastAsia="Arial" w:cs="Arial"/>
          <w:sz w:val="22"/>
          <w:szCs w:val="22"/>
          <w:highlight w:val="yellow"/>
        </w:rPr>
      </w:pPr>
    </w:p>
    <w:p w14:paraId="38402D44" w14:textId="6305C930" w:rsidR="00DA2D7E" w:rsidRDefault="006219DA" w:rsidP="00CC48FB">
      <w:pPr>
        <w:pStyle w:val="Style1"/>
        <w:rPr>
          <w:b w:val="0"/>
          <w:bCs w:val="0"/>
        </w:rPr>
      </w:pPr>
      <w:r w:rsidRPr="00CC48FB">
        <w:rPr>
          <w:rFonts w:eastAsia="Arial"/>
        </w:rPr>
        <w:t>Street lighting fault repair.</w:t>
      </w:r>
      <w:r w:rsidRPr="00CC48FB">
        <w:rPr>
          <w:rFonts w:eastAsia="Arial"/>
          <w:b w:val="0"/>
          <w:bCs w:val="0"/>
        </w:rPr>
        <w:t xml:space="preserve">  </w:t>
      </w:r>
      <w:r w:rsidRPr="00CC48FB">
        <w:rPr>
          <w:b w:val="0"/>
          <w:bCs w:val="0"/>
        </w:rPr>
        <w:t>Performance in Quarter 2 is broadly in line with that of Q</w:t>
      </w:r>
      <w:r w:rsidR="007B76F5" w:rsidRPr="00CC48FB">
        <w:rPr>
          <w:b w:val="0"/>
          <w:bCs w:val="0"/>
        </w:rPr>
        <w:t>uarter</w:t>
      </w:r>
      <w:r w:rsidRPr="00CC48FB">
        <w:rPr>
          <w:b w:val="0"/>
          <w:bCs w:val="0"/>
        </w:rPr>
        <w:t xml:space="preserve"> 1 (2021/22) but is significantly improved from this time last year for both T</w:t>
      </w:r>
      <w:r w:rsidR="0086742D" w:rsidRPr="00CC48FB">
        <w:rPr>
          <w:b w:val="0"/>
          <w:bCs w:val="0"/>
        </w:rPr>
        <w:t xml:space="preserve">raffic </w:t>
      </w:r>
      <w:r w:rsidRPr="00CC48FB">
        <w:rPr>
          <w:b w:val="0"/>
          <w:bCs w:val="0"/>
        </w:rPr>
        <w:t>M</w:t>
      </w:r>
      <w:r w:rsidR="0086742D" w:rsidRPr="00CC48FB">
        <w:rPr>
          <w:b w:val="0"/>
          <w:bCs w:val="0"/>
        </w:rPr>
        <w:t>anagement</w:t>
      </w:r>
      <w:r w:rsidR="00B43660" w:rsidRPr="00CC48FB">
        <w:rPr>
          <w:b w:val="0"/>
          <w:bCs w:val="0"/>
        </w:rPr>
        <w:t xml:space="preserve"> (TM),</w:t>
      </w:r>
      <w:r w:rsidRPr="00CC48FB">
        <w:rPr>
          <w:b w:val="0"/>
          <w:bCs w:val="0"/>
        </w:rPr>
        <w:t xml:space="preserve"> 87% Q2 2020/21</w:t>
      </w:r>
      <w:r w:rsidR="00B43660" w:rsidRPr="00CC48FB">
        <w:rPr>
          <w:b w:val="0"/>
          <w:bCs w:val="0"/>
        </w:rPr>
        <w:t>,</w:t>
      </w:r>
      <w:r w:rsidRPr="00CC48FB">
        <w:rPr>
          <w:b w:val="0"/>
          <w:bCs w:val="0"/>
        </w:rPr>
        <w:t xml:space="preserve"> and non-TM</w:t>
      </w:r>
      <w:r w:rsidR="00B43660" w:rsidRPr="00CC48FB">
        <w:rPr>
          <w:b w:val="0"/>
          <w:bCs w:val="0"/>
        </w:rPr>
        <w:t xml:space="preserve"> (NTM)</w:t>
      </w:r>
      <w:r w:rsidRPr="00CC48FB">
        <w:rPr>
          <w:b w:val="0"/>
          <w:bCs w:val="0"/>
        </w:rPr>
        <w:t xml:space="preserve"> faults</w:t>
      </w:r>
      <w:r w:rsidR="00B43660" w:rsidRPr="00CC48FB">
        <w:rPr>
          <w:b w:val="0"/>
          <w:bCs w:val="0"/>
        </w:rPr>
        <w:t xml:space="preserve">, </w:t>
      </w:r>
      <w:r w:rsidRPr="00CC48FB">
        <w:rPr>
          <w:b w:val="0"/>
          <w:bCs w:val="0"/>
        </w:rPr>
        <w:t>92% Q2 2020/21.  Our overall performance</w:t>
      </w:r>
      <w:r w:rsidR="00D24D84" w:rsidRPr="00CC48FB">
        <w:rPr>
          <w:b w:val="0"/>
          <w:bCs w:val="0"/>
        </w:rPr>
        <w:t xml:space="preserve"> that</w:t>
      </w:r>
      <w:r w:rsidRPr="00CC48FB">
        <w:rPr>
          <w:b w:val="0"/>
          <w:bCs w:val="0"/>
        </w:rPr>
        <w:t xml:space="preserve"> measures both TM &amp; non-TM</w:t>
      </w:r>
      <w:r w:rsidR="004D4A8D" w:rsidRPr="00CC48FB">
        <w:rPr>
          <w:b w:val="0"/>
          <w:bCs w:val="0"/>
        </w:rPr>
        <w:t xml:space="preserve"> performance combined</w:t>
      </w:r>
      <w:r w:rsidRPr="00CC48FB">
        <w:rPr>
          <w:b w:val="0"/>
          <w:bCs w:val="0"/>
        </w:rPr>
        <w:t xml:space="preserve"> has also improved and is at 97% compared to 92% for Q2 2020/21.</w:t>
      </w:r>
    </w:p>
    <w:p w14:paraId="29C72DEB" w14:textId="77777777" w:rsidR="00CC48FB" w:rsidRPr="00CC48FB" w:rsidRDefault="00CC48FB" w:rsidP="00CC48FB">
      <w:pPr>
        <w:pStyle w:val="Style1"/>
        <w:rPr>
          <w:b w:val="0"/>
          <w:bCs w:val="0"/>
        </w:rPr>
      </w:pPr>
    </w:p>
    <w:p w14:paraId="77F60668" w14:textId="4128FB5A" w:rsidR="001400A4" w:rsidRDefault="006219DA" w:rsidP="00CC48FB">
      <w:pPr>
        <w:pStyle w:val="Style1"/>
        <w:rPr>
          <w:b w:val="0"/>
          <w:bCs w:val="0"/>
        </w:rPr>
      </w:pPr>
      <w:r w:rsidRPr="00CC48FB">
        <w:rPr>
          <w:b w:val="0"/>
          <w:bCs w:val="0"/>
        </w:rPr>
        <w:t>There</w:t>
      </w:r>
      <w:r w:rsidR="00C54A89" w:rsidRPr="00CC48FB">
        <w:rPr>
          <w:b w:val="0"/>
          <w:bCs w:val="0"/>
        </w:rPr>
        <w:t xml:space="preserve"> are still problem</w:t>
      </w:r>
      <w:r w:rsidRPr="00CC48FB">
        <w:rPr>
          <w:b w:val="0"/>
          <w:bCs w:val="0"/>
        </w:rPr>
        <w:t>s</w:t>
      </w:r>
      <w:r w:rsidR="00C54A89" w:rsidRPr="00CC48FB">
        <w:rPr>
          <w:b w:val="0"/>
          <w:bCs w:val="0"/>
        </w:rPr>
        <w:t xml:space="preserve"> accessing some columns due to increased parked cars due to people continuing to be working from home and other C</w:t>
      </w:r>
      <w:r w:rsidR="0010773B">
        <w:rPr>
          <w:b w:val="0"/>
          <w:bCs w:val="0"/>
        </w:rPr>
        <w:t>ovid-19</w:t>
      </w:r>
      <w:r w:rsidR="00C54A89" w:rsidRPr="00CC48FB">
        <w:rPr>
          <w:b w:val="0"/>
          <w:bCs w:val="0"/>
        </w:rPr>
        <w:t xml:space="preserve"> issues, the return of staff who were shielding and the continued hard work of the Street Lighting Team has seen an improvement in the percentage of columns repaired within the specified timescale.</w:t>
      </w:r>
    </w:p>
    <w:p w14:paraId="082E4801" w14:textId="77777777" w:rsidR="00CC48FB" w:rsidRPr="00CC48FB" w:rsidRDefault="00CC48FB" w:rsidP="00CC48FB">
      <w:pPr>
        <w:pStyle w:val="Style1"/>
        <w:rPr>
          <w:rFonts w:ascii="Calibri" w:hAnsi="Calibri" w:cs="Calibri"/>
          <w:b w:val="0"/>
          <w:bCs w:val="0"/>
        </w:rPr>
      </w:pPr>
    </w:p>
    <w:tbl>
      <w:tblPr>
        <w:tblW w:w="13860" w:type="dxa"/>
        <w:tblLayout w:type="fixed"/>
        <w:tblLook w:val="04A0" w:firstRow="1" w:lastRow="0" w:firstColumn="1" w:lastColumn="0" w:noHBand="0" w:noVBand="1"/>
      </w:tblPr>
      <w:tblGrid>
        <w:gridCol w:w="1935"/>
        <w:gridCol w:w="1305"/>
        <w:gridCol w:w="1350"/>
        <w:gridCol w:w="930"/>
        <w:gridCol w:w="1605"/>
        <w:gridCol w:w="1785"/>
        <w:gridCol w:w="1770"/>
        <w:gridCol w:w="1980"/>
        <w:gridCol w:w="1200"/>
      </w:tblGrid>
      <w:tr w:rsidR="00176ACB" w14:paraId="1DAB9484" w14:textId="77777777" w:rsidTr="4E6013FB">
        <w:trPr>
          <w:trHeight w:val="540"/>
        </w:trPr>
        <w:tc>
          <w:tcPr>
            <w:tcW w:w="1935" w:type="dxa"/>
            <w:tcBorders>
              <w:top w:val="single" w:sz="4" w:space="0" w:color="auto"/>
              <w:left w:val="single" w:sz="4" w:space="0" w:color="auto"/>
              <w:bottom w:val="single" w:sz="4" w:space="0" w:color="auto"/>
              <w:right w:val="single" w:sz="8" w:space="0" w:color="auto"/>
            </w:tcBorders>
          </w:tcPr>
          <w:p w14:paraId="3460AA6F" w14:textId="77777777" w:rsidR="001400A4" w:rsidRDefault="006219DA" w:rsidP="00AB6544">
            <w:pPr>
              <w:jc w:val="left"/>
            </w:pPr>
            <w:r w:rsidRPr="62385CB5">
              <w:rPr>
                <w:rFonts w:eastAsia="Arial" w:cs="Arial"/>
                <w:b/>
                <w:bCs/>
                <w:color w:val="000000" w:themeColor="text1"/>
                <w:sz w:val="20"/>
                <w:szCs w:val="20"/>
              </w:rPr>
              <w:t>Performance Indicator</w:t>
            </w:r>
            <w:r w:rsidRPr="62385CB5">
              <w:rPr>
                <w:rFonts w:eastAsia="Arial" w:cs="Arial"/>
                <w:color w:val="000000" w:themeColor="text1"/>
                <w:sz w:val="20"/>
                <w:szCs w:val="20"/>
              </w:rPr>
              <w:t xml:space="preserve"> </w:t>
            </w:r>
          </w:p>
        </w:tc>
        <w:tc>
          <w:tcPr>
            <w:tcW w:w="1305" w:type="dxa"/>
            <w:tcBorders>
              <w:top w:val="single" w:sz="4" w:space="0" w:color="auto"/>
              <w:left w:val="single" w:sz="8" w:space="0" w:color="auto"/>
              <w:bottom w:val="single" w:sz="4" w:space="0" w:color="auto"/>
              <w:right w:val="single" w:sz="8" w:space="0" w:color="auto"/>
            </w:tcBorders>
          </w:tcPr>
          <w:p w14:paraId="7B773877" w14:textId="77777777" w:rsidR="001400A4" w:rsidRDefault="006219DA" w:rsidP="00AB6544">
            <w:pPr>
              <w:jc w:val="left"/>
            </w:pPr>
            <w:r w:rsidRPr="62385CB5">
              <w:rPr>
                <w:rFonts w:eastAsia="Arial" w:cs="Arial"/>
                <w:b/>
                <w:bCs/>
                <w:color w:val="000000" w:themeColor="text1"/>
                <w:sz w:val="20"/>
                <w:szCs w:val="20"/>
              </w:rPr>
              <w:t>Frequency</w:t>
            </w:r>
            <w:r w:rsidRPr="62385CB5">
              <w:rPr>
                <w:rFonts w:eastAsia="Arial" w:cs="Arial"/>
                <w:color w:val="000000" w:themeColor="text1"/>
                <w:sz w:val="20"/>
                <w:szCs w:val="20"/>
              </w:rPr>
              <w:t xml:space="preserve"> </w:t>
            </w:r>
          </w:p>
        </w:tc>
        <w:tc>
          <w:tcPr>
            <w:tcW w:w="1350" w:type="dxa"/>
            <w:tcBorders>
              <w:top w:val="single" w:sz="4" w:space="0" w:color="auto"/>
              <w:left w:val="single" w:sz="8" w:space="0" w:color="auto"/>
              <w:bottom w:val="single" w:sz="4" w:space="0" w:color="auto"/>
              <w:right w:val="single" w:sz="8" w:space="0" w:color="auto"/>
            </w:tcBorders>
          </w:tcPr>
          <w:p w14:paraId="27BE2CC3" w14:textId="77777777" w:rsidR="001400A4" w:rsidRDefault="006219DA" w:rsidP="00AB6544">
            <w:pPr>
              <w:jc w:val="left"/>
            </w:pPr>
            <w:r w:rsidRPr="62385CB5">
              <w:rPr>
                <w:rFonts w:eastAsia="Arial" w:cs="Arial"/>
                <w:b/>
                <w:bCs/>
                <w:color w:val="000000" w:themeColor="text1"/>
                <w:sz w:val="20"/>
                <w:szCs w:val="20"/>
              </w:rPr>
              <w:t xml:space="preserve">Directorate </w:t>
            </w:r>
            <w:r w:rsidRPr="62385CB5">
              <w:rPr>
                <w:rFonts w:eastAsia="Arial" w:cs="Arial"/>
                <w:color w:val="000000" w:themeColor="text1"/>
                <w:sz w:val="20"/>
                <w:szCs w:val="20"/>
              </w:rPr>
              <w:t xml:space="preserve"> </w:t>
            </w:r>
          </w:p>
        </w:tc>
        <w:tc>
          <w:tcPr>
            <w:tcW w:w="930" w:type="dxa"/>
            <w:tcBorders>
              <w:top w:val="single" w:sz="4" w:space="0" w:color="auto"/>
              <w:left w:val="single" w:sz="8" w:space="0" w:color="auto"/>
              <w:bottom w:val="single" w:sz="4" w:space="0" w:color="auto"/>
              <w:right w:val="single" w:sz="8" w:space="0" w:color="auto"/>
            </w:tcBorders>
          </w:tcPr>
          <w:p w14:paraId="45C7EE4F" w14:textId="77777777" w:rsidR="001400A4" w:rsidRDefault="006219DA" w:rsidP="00AB6544">
            <w:pPr>
              <w:jc w:val="left"/>
            </w:pPr>
            <w:r w:rsidRPr="62385CB5">
              <w:rPr>
                <w:rFonts w:eastAsia="Arial" w:cs="Arial"/>
                <w:b/>
                <w:bCs/>
                <w:color w:val="000000" w:themeColor="text1"/>
                <w:sz w:val="20"/>
                <w:szCs w:val="20"/>
              </w:rPr>
              <w:t>Good is</w:t>
            </w:r>
            <w:r w:rsidRPr="62385CB5">
              <w:rPr>
                <w:rFonts w:eastAsia="Arial" w:cs="Arial"/>
                <w:color w:val="000000" w:themeColor="text1"/>
                <w:sz w:val="20"/>
                <w:szCs w:val="20"/>
              </w:rPr>
              <w:t xml:space="preserve"> </w:t>
            </w:r>
          </w:p>
        </w:tc>
        <w:tc>
          <w:tcPr>
            <w:tcW w:w="1605" w:type="dxa"/>
            <w:tcBorders>
              <w:top w:val="single" w:sz="4" w:space="0" w:color="auto"/>
              <w:left w:val="single" w:sz="8" w:space="0" w:color="auto"/>
              <w:bottom w:val="single" w:sz="4" w:space="0" w:color="auto"/>
              <w:right w:val="single" w:sz="8" w:space="0" w:color="auto"/>
            </w:tcBorders>
          </w:tcPr>
          <w:p w14:paraId="220E32C1" w14:textId="77777777" w:rsidR="001400A4" w:rsidRDefault="006219DA" w:rsidP="00AB6544">
            <w:pPr>
              <w:jc w:val="left"/>
            </w:pPr>
            <w:r w:rsidRPr="62385CB5">
              <w:rPr>
                <w:rFonts w:eastAsia="Arial" w:cs="Arial"/>
                <w:b/>
                <w:bCs/>
                <w:color w:val="000000" w:themeColor="text1"/>
                <w:sz w:val="20"/>
                <w:szCs w:val="20"/>
              </w:rPr>
              <w:t>2019/20 Outturn</w:t>
            </w:r>
          </w:p>
        </w:tc>
        <w:tc>
          <w:tcPr>
            <w:tcW w:w="1785" w:type="dxa"/>
            <w:tcBorders>
              <w:top w:val="single" w:sz="4" w:space="0" w:color="auto"/>
              <w:left w:val="single" w:sz="8" w:space="0" w:color="auto"/>
              <w:bottom w:val="single" w:sz="4" w:space="0" w:color="auto"/>
              <w:right w:val="single" w:sz="8" w:space="0" w:color="auto"/>
            </w:tcBorders>
          </w:tcPr>
          <w:p w14:paraId="15BDD8BA" w14:textId="77777777" w:rsidR="001400A4" w:rsidRDefault="006219DA" w:rsidP="00AB6544">
            <w:pPr>
              <w:jc w:val="left"/>
            </w:pPr>
            <w:r w:rsidRPr="62385CB5">
              <w:rPr>
                <w:rFonts w:eastAsia="Arial" w:cs="Arial"/>
                <w:b/>
                <w:bCs/>
                <w:color w:val="000000" w:themeColor="text1"/>
                <w:sz w:val="20"/>
                <w:szCs w:val="20"/>
              </w:rPr>
              <w:t>2020/21 Outturn</w:t>
            </w:r>
          </w:p>
        </w:tc>
        <w:tc>
          <w:tcPr>
            <w:tcW w:w="1770" w:type="dxa"/>
            <w:tcBorders>
              <w:top w:val="single" w:sz="4" w:space="0" w:color="auto"/>
              <w:left w:val="single" w:sz="8" w:space="0" w:color="auto"/>
              <w:bottom w:val="single" w:sz="4" w:space="0" w:color="auto"/>
              <w:right w:val="single" w:sz="8" w:space="0" w:color="auto"/>
            </w:tcBorders>
          </w:tcPr>
          <w:p w14:paraId="2F301D68" w14:textId="77777777" w:rsidR="001400A4" w:rsidRDefault="006219DA" w:rsidP="00AB6544">
            <w:pPr>
              <w:rPr>
                <w:rFonts w:eastAsia="Arial" w:cs="Arial"/>
                <w:b/>
                <w:bCs/>
                <w:color w:val="808080" w:themeColor="background1" w:themeShade="80"/>
                <w:sz w:val="18"/>
                <w:szCs w:val="18"/>
              </w:rPr>
            </w:pPr>
            <w:r w:rsidRPr="62385CB5">
              <w:rPr>
                <w:rFonts w:eastAsia="Arial" w:cs="Arial"/>
                <w:b/>
                <w:bCs/>
                <w:sz w:val="20"/>
                <w:szCs w:val="20"/>
              </w:rPr>
              <w:t xml:space="preserve">2021/22 Quarter 1 </w:t>
            </w:r>
            <w:r w:rsidRPr="62385CB5">
              <w:rPr>
                <w:rFonts w:eastAsia="Arial" w:cs="Arial"/>
                <w:b/>
                <w:bCs/>
                <w:sz w:val="18"/>
                <w:szCs w:val="18"/>
              </w:rPr>
              <w:t>(April –June)</w:t>
            </w:r>
          </w:p>
        </w:tc>
        <w:tc>
          <w:tcPr>
            <w:tcW w:w="1980" w:type="dxa"/>
            <w:tcBorders>
              <w:top w:val="single" w:sz="4" w:space="0" w:color="auto"/>
              <w:left w:val="single" w:sz="8" w:space="0" w:color="auto"/>
              <w:bottom w:val="single" w:sz="4" w:space="0" w:color="auto"/>
              <w:right w:val="single" w:sz="8" w:space="0" w:color="auto"/>
            </w:tcBorders>
          </w:tcPr>
          <w:p w14:paraId="63E4DD58" w14:textId="77777777" w:rsidR="001400A4" w:rsidRDefault="006219DA" w:rsidP="00AB6544">
            <w:r w:rsidRPr="62385CB5">
              <w:rPr>
                <w:rFonts w:eastAsia="Arial" w:cs="Arial"/>
                <w:b/>
                <w:bCs/>
                <w:sz w:val="20"/>
                <w:szCs w:val="20"/>
              </w:rPr>
              <w:t xml:space="preserve">2021/22 Quarter </w:t>
            </w:r>
            <w:r>
              <w:rPr>
                <w:rFonts w:eastAsia="Arial" w:cs="Arial"/>
                <w:b/>
                <w:bCs/>
                <w:sz w:val="20"/>
                <w:szCs w:val="20"/>
              </w:rPr>
              <w:t>2</w:t>
            </w:r>
            <w:r w:rsidRPr="62385CB5">
              <w:rPr>
                <w:rFonts w:eastAsia="Arial" w:cs="Arial"/>
                <w:b/>
                <w:bCs/>
                <w:sz w:val="20"/>
                <w:szCs w:val="20"/>
              </w:rPr>
              <w:t xml:space="preserve"> </w:t>
            </w:r>
            <w:r w:rsidRPr="62385CB5">
              <w:rPr>
                <w:rFonts w:eastAsia="Arial" w:cs="Arial"/>
                <w:b/>
                <w:bCs/>
                <w:sz w:val="18"/>
                <w:szCs w:val="18"/>
              </w:rPr>
              <w:t>(</w:t>
            </w:r>
            <w:r>
              <w:rPr>
                <w:rFonts w:eastAsia="Arial" w:cs="Arial"/>
                <w:b/>
                <w:bCs/>
                <w:sz w:val="18"/>
                <w:szCs w:val="18"/>
              </w:rPr>
              <w:t>July</w:t>
            </w:r>
            <w:r w:rsidRPr="62385CB5">
              <w:rPr>
                <w:rFonts w:eastAsia="Arial" w:cs="Arial"/>
                <w:b/>
                <w:bCs/>
                <w:sz w:val="18"/>
                <w:szCs w:val="18"/>
              </w:rPr>
              <w:t xml:space="preserve"> –</w:t>
            </w:r>
            <w:r>
              <w:rPr>
                <w:rFonts w:eastAsia="Arial" w:cs="Arial"/>
                <w:b/>
                <w:bCs/>
                <w:sz w:val="18"/>
                <w:szCs w:val="18"/>
              </w:rPr>
              <w:t>Sep</w:t>
            </w:r>
            <w:r w:rsidRPr="62385CB5">
              <w:rPr>
                <w:rFonts w:eastAsia="Arial" w:cs="Arial"/>
                <w:b/>
                <w:bCs/>
                <w:sz w:val="18"/>
                <w:szCs w:val="18"/>
              </w:rPr>
              <w:t>)</w:t>
            </w:r>
          </w:p>
        </w:tc>
        <w:tc>
          <w:tcPr>
            <w:tcW w:w="1200" w:type="dxa"/>
            <w:tcBorders>
              <w:top w:val="single" w:sz="4" w:space="0" w:color="auto"/>
              <w:left w:val="single" w:sz="8" w:space="0" w:color="auto"/>
              <w:bottom w:val="single" w:sz="4" w:space="0" w:color="auto"/>
              <w:right w:val="single" w:sz="4" w:space="0" w:color="auto"/>
            </w:tcBorders>
          </w:tcPr>
          <w:p w14:paraId="5E0C6C82" w14:textId="389A56A7" w:rsidR="001400A4" w:rsidRPr="007E3FEF" w:rsidRDefault="006219DA" w:rsidP="00AB6544">
            <w:pPr>
              <w:jc w:val="left"/>
              <w:rPr>
                <w:rFonts w:eastAsia="Arial" w:cs="Arial"/>
                <w:b/>
                <w:bCs/>
                <w:color w:val="000000" w:themeColor="text1"/>
                <w:sz w:val="20"/>
                <w:szCs w:val="20"/>
              </w:rPr>
            </w:pPr>
            <w:r w:rsidRPr="007E3FEF">
              <w:rPr>
                <w:rFonts w:eastAsia="Arial" w:cs="Arial"/>
                <w:b/>
                <w:bCs/>
                <w:color w:val="000000" w:themeColor="text1"/>
                <w:sz w:val="20"/>
                <w:szCs w:val="20"/>
              </w:rPr>
              <w:t>202</w:t>
            </w:r>
            <w:r w:rsidR="00B604F1" w:rsidRPr="007E3FEF">
              <w:rPr>
                <w:rFonts w:eastAsia="Arial" w:cs="Arial"/>
                <w:b/>
                <w:bCs/>
                <w:color w:val="000000" w:themeColor="text1"/>
                <w:sz w:val="20"/>
                <w:szCs w:val="20"/>
              </w:rPr>
              <w:t>1</w:t>
            </w:r>
            <w:r w:rsidR="00656749" w:rsidRPr="007E3FEF">
              <w:rPr>
                <w:rFonts w:eastAsia="Arial" w:cs="Arial"/>
                <w:b/>
                <w:bCs/>
                <w:color w:val="000000" w:themeColor="text1"/>
                <w:sz w:val="20"/>
                <w:szCs w:val="20"/>
              </w:rPr>
              <w:t>/</w:t>
            </w:r>
            <w:r w:rsidRPr="007E3FEF">
              <w:rPr>
                <w:rFonts w:eastAsia="Arial" w:cs="Arial"/>
                <w:b/>
                <w:bCs/>
                <w:color w:val="000000" w:themeColor="text1"/>
                <w:sz w:val="20"/>
                <w:szCs w:val="20"/>
              </w:rPr>
              <w:t>2</w:t>
            </w:r>
            <w:r w:rsidR="00656749" w:rsidRPr="007E3FEF">
              <w:rPr>
                <w:rFonts w:eastAsia="Arial" w:cs="Arial"/>
                <w:b/>
                <w:bCs/>
                <w:color w:val="000000" w:themeColor="text1"/>
                <w:sz w:val="20"/>
                <w:szCs w:val="20"/>
              </w:rPr>
              <w:t>2</w:t>
            </w:r>
            <w:r w:rsidRPr="007E3FEF">
              <w:rPr>
                <w:rFonts w:eastAsia="Arial" w:cs="Arial"/>
                <w:b/>
                <w:bCs/>
                <w:color w:val="000000" w:themeColor="text1"/>
                <w:sz w:val="20"/>
                <w:szCs w:val="20"/>
              </w:rPr>
              <w:t xml:space="preserve"> Target</w:t>
            </w:r>
          </w:p>
        </w:tc>
      </w:tr>
      <w:tr w:rsidR="00176ACB" w14:paraId="6123A62F" w14:textId="77777777" w:rsidTr="4E6013FB">
        <w:trPr>
          <w:trHeight w:val="840"/>
        </w:trPr>
        <w:tc>
          <w:tcPr>
            <w:tcW w:w="1935" w:type="dxa"/>
            <w:tcBorders>
              <w:top w:val="single" w:sz="4" w:space="0" w:color="auto"/>
              <w:left w:val="single" w:sz="4" w:space="0" w:color="auto"/>
              <w:bottom w:val="single" w:sz="4" w:space="0" w:color="auto"/>
              <w:right w:val="single" w:sz="4" w:space="0" w:color="auto"/>
            </w:tcBorders>
          </w:tcPr>
          <w:p w14:paraId="2CF90732" w14:textId="5CB6B991" w:rsidR="001400A4" w:rsidRDefault="006219DA" w:rsidP="00A66D6E">
            <w:pPr>
              <w:jc w:val="left"/>
            </w:pPr>
            <w:r w:rsidRPr="62385CB5">
              <w:rPr>
                <w:rFonts w:eastAsia="Arial" w:cs="Arial"/>
                <w:color w:val="000000" w:themeColor="text1"/>
                <w:sz w:val="22"/>
                <w:szCs w:val="22"/>
              </w:rPr>
              <w:t xml:space="preserve">Number of working days per full time equivalent lost to sickness absence  </w:t>
            </w:r>
          </w:p>
        </w:tc>
        <w:tc>
          <w:tcPr>
            <w:tcW w:w="1305" w:type="dxa"/>
            <w:tcBorders>
              <w:top w:val="single" w:sz="4" w:space="0" w:color="auto"/>
              <w:left w:val="single" w:sz="4" w:space="0" w:color="auto"/>
              <w:bottom w:val="single" w:sz="4" w:space="0" w:color="auto"/>
              <w:right w:val="single" w:sz="4" w:space="0" w:color="auto"/>
            </w:tcBorders>
          </w:tcPr>
          <w:p w14:paraId="6895C242" w14:textId="77777777" w:rsidR="001400A4" w:rsidRDefault="006219DA" w:rsidP="00AB6544">
            <w:pPr>
              <w:jc w:val="left"/>
            </w:pPr>
            <w:r w:rsidRPr="62385CB5">
              <w:rPr>
                <w:rFonts w:eastAsia="Arial" w:cs="Arial"/>
                <w:color w:val="000000" w:themeColor="text1"/>
                <w:sz w:val="22"/>
                <w:szCs w:val="22"/>
              </w:rPr>
              <w:t xml:space="preserve">Quarterly </w:t>
            </w:r>
          </w:p>
        </w:tc>
        <w:tc>
          <w:tcPr>
            <w:tcW w:w="1350" w:type="dxa"/>
            <w:tcBorders>
              <w:top w:val="single" w:sz="4" w:space="0" w:color="auto"/>
              <w:left w:val="single" w:sz="4" w:space="0" w:color="auto"/>
              <w:bottom w:val="single" w:sz="4" w:space="0" w:color="auto"/>
              <w:right w:val="single" w:sz="4" w:space="0" w:color="auto"/>
            </w:tcBorders>
          </w:tcPr>
          <w:p w14:paraId="544A478D" w14:textId="77777777" w:rsidR="001400A4" w:rsidRDefault="006219DA" w:rsidP="00AB6544">
            <w:pPr>
              <w:jc w:val="left"/>
            </w:pPr>
            <w:r w:rsidRPr="62385CB5">
              <w:rPr>
                <w:rFonts w:eastAsia="Arial" w:cs="Arial"/>
                <w:color w:val="000000" w:themeColor="text1"/>
                <w:sz w:val="22"/>
                <w:szCs w:val="22"/>
              </w:rPr>
              <w:t xml:space="preserve">Chief Executive and Director of Resources </w:t>
            </w:r>
          </w:p>
        </w:tc>
        <w:tc>
          <w:tcPr>
            <w:tcW w:w="930" w:type="dxa"/>
            <w:tcBorders>
              <w:top w:val="single" w:sz="4" w:space="0" w:color="auto"/>
              <w:left w:val="single" w:sz="4" w:space="0" w:color="auto"/>
              <w:bottom w:val="single" w:sz="4" w:space="0" w:color="auto"/>
              <w:right w:val="single" w:sz="4" w:space="0" w:color="auto"/>
            </w:tcBorders>
          </w:tcPr>
          <w:p w14:paraId="40A7C371" w14:textId="77777777" w:rsidR="001400A4" w:rsidRDefault="006219DA" w:rsidP="00AB6544">
            <w:pPr>
              <w:jc w:val="left"/>
            </w:pPr>
            <w:r w:rsidRPr="62385CB5">
              <w:rPr>
                <w:rFonts w:eastAsia="Arial" w:cs="Arial"/>
                <w:color w:val="000000" w:themeColor="text1"/>
                <w:sz w:val="22"/>
                <w:szCs w:val="22"/>
              </w:rPr>
              <w:t xml:space="preserve">Low </w:t>
            </w:r>
          </w:p>
        </w:tc>
        <w:tc>
          <w:tcPr>
            <w:tcW w:w="1605" w:type="dxa"/>
            <w:tcBorders>
              <w:top w:val="single" w:sz="4" w:space="0" w:color="auto"/>
              <w:left w:val="single" w:sz="4" w:space="0" w:color="auto"/>
              <w:bottom w:val="single" w:sz="4" w:space="0" w:color="auto"/>
              <w:right w:val="single" w:sz="4" w:space="0" w:color="auto"/>
            </w:tcBorders>
            <w:shd w:val="clear" w:color="auto" w:fill="FF0000"/>
          </w:tcPr>
          <w:p w14:paraId="7F018A02" w14:textId="77777777" w:rsidR="001400A4" w:rsidRPr="009D11AE" w:rsidRDefault="006219DA" w:rsidP="00AB6544">
            <w:pPr>
              <w:jc w:val="center"/>
              <w:rPr>
                <w:color w:val="FFFFFF" w:themeColor="background1"/>
              </w:rPr>
            </w:pPr>
            <w:r w:rsidRPr="009D11AE">
              <w:rPr>
                <w:rFonts w:eastAsia="Arial" w:cs="Arial"/>
                <w:color w:val="FFFFFF" w:themeColor="background1"/>
                <w:sz w:val="22"/>
                <w:szCs w:val="22"/>
              </w:rPr>
              <w:t xml:space="preserve">Apr 2019 to March 2019 </w:t>
            </w:r>
          </w:p>
          <w:p w14:paraId="79186543" w14:textId="77777777" w:rsidR="001400A4" w:rsidRDefault="006219DA" w:rsidP="00AB6544">
            <w:pPr>
              <w:jc w:val="center"/>
            </w:pPr>
            <w:r w:rsidRPr="009D11AE">
              <w:rPr>
                <w:rFonts w:eastAsia="Arial" w:cs="Arial"/>
                <w:color w:val="FFFFFF" w:themeColor="background1"/>
                <w:sz w:val="22"/>
                <w:szCs w:val="22"/>
              </w:rPr>
              <w:t xml:space="preserve">12.39 days per FTE </w:t>
            </w:r>
          </w:p>
        </w:tc>
        <w:tc>
          <w:tcPr>
            <w:tcW w:w="178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F1A2F7" w14:textId="77777777" w:rsidR="001400A4" w:rsidRDefault="006219DA" w:rsidP="00AB6544">
            <w:pPr>
              <w:jc w:val="center"/>
            </w:pPr>
            <w:r w:rsidRPr="62385CB5">
              <w:rPr>
                <w:rFonts w:eastAsia="Arial" w:cs="Arial"/>
                <w:color w:val="000000" w:themeColor="text1"/>
                <w:sz w:val="22"/>
                <w:szCs w:val="22"/>
              </w:rPr>
              <w:t xml:space="preserve">Apr 2020 to March 2021 </w:t>
            </w:r>
          </w:p>
          <w:p w14:paraId="4C05BFA9" w14:textId="77777777" w:rsidR="001400A4" w:rsidRDefault="006219DA" w:rsidP="00AB6544">
            <w:pPr>
              <w:jc w:val="center"/>
            </w:pPr>
            <w:r w:rsidRPr="62385CB5">
              <w:rPr>
                <w:rFonts w:eastAsia="Arial" w:cs="Arial"/>
                <w:color w:val="000000" w:themeColor="text1"/>
                <w:sz w:val="22"/>
                <w:szCs w:val="22"/>
              </w:rPr>
              <w:t xml:space="preserve">10.76 days per FTE  </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14:paraId="13969FBF" w14:textId="77777777" w:rsidR="001400A4" w:rsidRPr="00511630" w:rsidRDefault="006219DA" w:rsidP="00AB6544">
            <w:pPr>
              <w:jc w:val="center"/>
              <w:rPr>
                <w:color w:val="FFFFFF" w:themeColor="background1"/>
              </w:rPr>
            </w:pPr>
            <w:r w:rsidRPr="00511630">
              <w:rPr>
                <w:rFonts w:eastAsia="Arial" w:cs="Arial"/>
                <w:color w:val="FFFFFF" w:themeColor="background1"/>
                <w:sz w:val="22"/>
                <w:szCs w:val="22"/>
              </w:rPr>
              <w:t xml:space="preserve">July 2020 to June 2021 </w:t>
            </w:r>
          </w:p>
          <w:p w14:paraId="147B24B4" w14:textId="77777777" w:rsidR="001400A4" w:rsidRPr="00511630" w:rsidRDefault="006219DA" w:rsidP="00AB6544">
            <w:pPr>
              <w:jc w:val="center"/>
              <w:rPr>
                <w:color w:val="FFFFFF" w:themeColor="background1"/>
              </w:rPr>
            </w:pPr>
            <w:r w:rsidRPr="00511630">
              <w:rPr>
                <w:rFonts w:eastAsia="Arial" w:cs="Arial"/>
                <w:color w:val="FFFFFF" w:themeColor="background1"/>
                <w:sz w:val="22"/>
                <w:szCs w:val="22"/>
              </w:rPr>
              <w:t xml:space="preserve">10.98 days per FTE </w:t>
            </w:r>
          </w:p>
          <w:p w14:paraId="533BB75A" w14:textId="77777777" w:rsidR="001400A4" w:rsidRDefault="006219DA" w:rsidP="00AB6544">
            <w:pPr>
              <w:jc w:val="center"/>
            </w:pPr>
            <w:r w:rsidRPr="62385CB5">
              <w:rPr>
                <w:rFonts w:ascii="Segoe UI" w:eastAsia="Segoe UI" w:hAnsi="Segoe UI" w:cs="Segoe UI"/>
                <w:color w:val="000000" w:themeColor="text1"/>
                <w:sz w:val="18"/>
                <w:szCs w:val="18"/>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14:paraId="346F4EBD" w14:textId="573E94B2" w:rsidR="008E7297" w:rsidRPr="00511630" w:rsidRDefault="006219DA" w:rsidP="008E7297">
            <w:pPr>
              <w:jc w:val="center"/>
              <w:rPr>
                <w:color w:val="FFFFFF" w:themeColor="background1"/>
              </w:rPr>
            </w:pPr>
            <w:r>
              <w:rPr>
                <w:rFonts w:eastAsia="Arial" w:cs="Arial"/>
                <w:color w:val="FFFFFF" w:themeColor="background1"/>
                <w:sz w:val="22"/>
                <w:szCs w:val="22"/>
              </w:rPr>
              <w:t>October</w:t>
            </w:r>
            <w:r w:rsidRPr="00511630">
              <w:rPr>
                <w:rFonts w:eastAsia="Arial" w:cs="Arial"/>
                <w:color w:val="FFFFFF" w:themeColor="background1"/>
                <w:sz w:val="22"/>
                <w:szCs w:val="22"/>
              </w:rPr>
              <w:t xml:space="preserve"> 2020 to September 2021 </w:t>
            </w:r>
          </w:p>
          <w:p w14:paraId="2D2C766B" w14:textId="57CFECF5" w:rsidR="008E7297" w:rsidRPr="00511630" w:rsidRDefault="006219DA" w:rsidP="008E7297">
            <w:pPr>
              <w:jc w:val="center"/>
              <w:rPr>
                <w:color w:val="FFFFFF" w:themeColor="background1"/>
              </w:rPr>
            </w:pPr>
            <w:r w:rsidRPr="00511630">
              <w:rPr>
                <w:rFonts w:eastAsia="Arial" w:cs="Arial"/>
                <w:color w:val="FFFFFF" w:themeColor="background1"/>
                <w:sz w:val="22"/>
                <w:szCs w:val="22"/>
              </w:rPr>
              <w:t xml:space="preserve">11.77 days per FTE </w:t>
            </w:r>
          </w:p>
          <w:p w14:paraId="34F5C6BF" w14:textId="51E6B753" w:rsidR="001400A4" w:rsidRDefault="001400A4" w:rsidP="00AB6544">
            <w:pPr>
              <w:jc w:val="cente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Pr>
          <w:p w14:paraId="5F23E11B" w14:textId="77777777" w:rsidR="00656749" w:rsidRDefault="006219DA" w:rsidP="00AB6544">
            <w:pPr>
              <w:jc w:val="center"/>
              <w:rPr>
                <w:rFonts w:eastAsia="Arial" w:cs="Arial"/>
                <w:color w:val="000000" w:themeColor="text1"/>
                <w:sz w:val="22"/>
                <w:szCs w:val="22"/>
              </w:rPr>
            </w:pPr>
            <w:r w:rsidRPr="62385CB5">
              <w:rPr>
                <w:rFonts w:eastAsia="Arial" w:cs="Arial"/>
                <w:color w:val="000000" w:themeColor="text1"/>
                <w:sz w:val="22"/>
                <w:szCs w:val="22"/>
              </w:rPr>
              <w:t>9.83 days per FTE</w:t>
            </w:r>
          </w:p>
          <w:p w14:paraId="53D65910" w14:textId="64A869F2" w:rsidR="001400A4" w:rsidRPr="004267F4" w:rsidRDefault="006219DA" w:rsidP="004267F4">
            <w:pPr>
              <w:pStyle w:val="NoSpacing"/>
              <w:rPr>
                <w:rFonts w:ascii="Arial" w:hAnsi="Arial" w:cs="Arial"/>
              </w:rPr>
            </w:pPr>
            <w:r w:rsidRPr="004267F4">
              <w:rPr>
                <w:rFonts w:ascii="Arial" w:hAnsi="Arial" w:cs="Arial"/>
              </w:rPr>
              <w:t>(target</w:t>
            </w:r>
            <w:r w:rsidR="00C71597">
              <w:rPr>
                <w:rFonts w:ascii="Arial" w:hAnsi="Arial" w:cs="Arial"/>
              </w:rPr>
              <w:t xml:space="preserve"> pending </w:t>
            </w:r>
            <w:r w:rsidRPr="004267F4">
              <w:rPr>
                <w:rFonts w:ascii="Arial" w:hAnsi="Arial" w:cs="Arial"/>
              </w:rPr>
              <w:t xml:space="preserve">review)  </w:t>
            </w:r>
          </w:p>
        </w:tc>
      </w:tr>
      <w:tr w:rsidR="00176ACB" w14:paraId="2B48829F" w14:textId="77777777" w:rsidTr="00567CD5">
        <w:trPr>
          <w:trHeight w:val="1275"/>
        </w:trPr>
        <w:tc>
          <w:tcPr>
            <w:tcW w:w="1935" w:type="dxa"/>
            <w:tcBorders>
              <w:top w:val="single" w:sz="4" w:space="0" w:color="auto"/>
              <w:left w:val="single" w:sz="4" w:space="0" w:color="auto"/>
              <w:bottom w:val="single" w:sz="8" w:space="0" w:color="auto"/>
              <w:right w:val="single" w:sz="4" w:space="0" w:color="auto"/>
            </w:tcBorders>
          </w:tcPr>
          <w:p w14:paraId="57795969" w14:textId="443C0430" w:rsidR="001400A4" w:rsidRDefault="006219DA" w:rsidP="00AB6544">
            <w:pPr>
              <w:jc w:val="left"/>
            </w:pPr>
            <w:r w:rsidRPr="4E6013FB">
              <w:rPr>
                <w:rFonts w:eastAsia="Arial" w:cs="Arial"/>
                <w:color w:val="000000" w:themeColor="text1"/>
                <w:sz w:val="22"/>
                <w:szCs w:val="22"/>
              </w:rPr>
              <w:t>Revenue forecast outturn % variance to budget</w:t>
            </w:r>
          </w:p>
        </w:tc>
        <w:tc>
          <w:tcPr>
            <w:tcW w:w="1305" w:type="dxa"/>
            <w:tcBorders>
              <w:top w:val="single" w:sz="4" w:space="0" w:color="auto"/>
              <w:left w:val="single" w:sz="4" w:space="0" w:color="auto"/>
              <w:bottom w:val="single" w:sz="8" w:space="0" w:color="auto"/>
              <w:right w:val="single" w:sz="4" w:space="0" w:color="auto"/>
            </w:tcBorders>
          </w:tcPr>
          <w:p w14:paraId="6567EA4F" w14:textId="77777777" w:rsidR="001400A4" w:rsidRDefault="006219DA" w:rsidP="00AB6544">
            <w:pPr>
              <w:jc w:val="left"/>
            </w:pPr>
            <w:r w:rsidRPr="62385CB5">
              <w:rPr>
                <w:rFonts w:eastAsia="Arial" w:cs="Arial"/>
                <w:color w:val="000000" w:themeColor="text1"/>
                <w:sz w:val="22"/>
                <w:szCs w:val="22"/>
              </w:rPr>
              <w:t xml:space="preserve">Quarterly </w:t>
            </w:r>
          </w:p>
        </w:tc>
        <w:tc>
          <w:tcPr>
            <w:tcW w:w="1350" w:type="dxa"/>
            <w:tcBorders>
              <w:top w:val="single" w:sz="4" w:space="0" w:color="auto"/>
              <w:left w:val="single" w:sz="4" w:space="0" w:color="auto"/>
              <w:bottom w:val="single" w:sz="8" w:space="0" w:color="auto"/>
              <w:right w:val="single" w:sz="4" w:space="0" w:color="auto"/>
            </w:tcBorders>
          </w:tcPr>
          <w:p w14:paraId="5E94B862" w14:textId="512B666F" w:rsidR="001400A4" w:rsidRDefault="006219DA" w:rsidP="00AB6544">
            <w:pPr>
              <w:jc w:val="left"/>
            </w:pPr>
            <w:r w:rsidRPr="4E6013FB">
              <w:rPr>
                <w:rFonts w:eastAsia="Arial" w:cs="Arial"/>
                <w:color w:val="000000" w:themeColor="text1"/>
                <w:sz w:val="22"/>
                <w:szCs w:val="22"/>
              </w:rPr>
              <w:t>Chief Executive and Director of Resources</w:t>
            </w:r>
          </w:p>
        </w:tc>
        <w:tc>
          <w:tcPr>
            <w:tcW w:w="930" w:type="dxa"/>
            <w:tcBorders>
              <w:top w:val="single" w:sz="4" w:space="0" w:color="auto"/>
              <w:left w:val="single" w:sz="4" w:space="0" w:color="auto"/>
              <w:bottom w:val="single" w:sz="8" w:space="0" w:color="auto"/>
              <w:right w:val="single" w:sz="4" w:space="0" w:color="auto"/>
            </w:tcBorders>
          </w:tcPr>
          <w:p w14:paraId="0A725FB9" w14:textId="77777777" w:rsidR="001400A4" w:rsidRDefault="006219DA" w:rsidP="00AB6544">
            <w:pPr>
              <w:jc w:val="left"/>
            </w:pPr>
            <w:r w:rsidRPr="62385CB5">
              <w:rPr>
                <w:rFonts w:eastAsia="Arial" w:cs="Arial"/>
                <w:color w:val="000000" w:themeColor="text1"/>
                <w:sz w:val="22"/>
                <w:szCs w:val="22"/>
              </w:rPr>
              <w:t xml:space="preserve">Low </w:t>
            </w:r>
          </w:p>
        </w:tc>
        <w:tc>
          <w:tcPr>
            <w:tcW w:w="1605" w:type="dxa"/>
            <w:tcBorders>
              <w:top w:val="single" w:sz="4" w:space="0" w:color="auto"/>
              <w:left w:val="single" w:sz="4" w:space="0" w:color="auto"/>
              <w:bottom w:val="single" w:sz="8" w:space="0" w:color="auto"/>
              <w:right w:val="single" w:sz="4" w:space="0" w:color="auto"/>
            </w:tcBorders>
            <w:shd w:val="clear" w:color="auto" w:fill="F7CAAC" w:themeFill="accent2" w:themeFillTint="66"/>
          </w:tcPr>
          <w:p w14:paraId="60CEE0B2" w14:textId="77777777" w:rsidR="001400A4" w:rsidRDefault="006219DA" w:rsidP="00AB6544">
            <w:pPr>
              <w:jc w:val="center"/>
            </w:pPr>
            <w:r w:rsidRPr="62385CB5">
              <w:rPr>
                <w:rFonts w:eastAsia="Arial" w:cs="Arial"/>
                <w:color w:val="000000" w:themeColor="text1"/>
                <w:sz w:val="22"/>
                <w:szCs w:val="22"/>
              </w:rPr>
              <w:t xml:space="preserve">0.22% </w:t>
            </w:r>
          </w:p>
        </w:tc>
        <w:tc>
          <w:tcPr>
            <w:tcW w:w="1785" w:type="dxa"/>
            <w:tcBorders>
              <w:top w:val="single" w:sz="4" w:space="0" w:color="auto"/>
              <w:left w:val="single" w:sz="4" w:space="0" w:color="auto"/>
              <w:bottom w:val="single" w:sz="8" w:space="0" w:color="auto"/>
              <w:right w:val="single" w:sz="4" w:space="0" w:color="auto"/>
            </w:tcBorders>
            <w:shd w:val="clear" w:color="auto" w:fill="C5E0B3" w:themeFill="accent6" w:themeFillTint="66"/>
          </w:tcPr>
          <w:p w14:paraId="7B8EF81C" w14:textId="77777777" w:rsidR="001400A4" w:rsidRDefault="006219DA" w:rsidP="00AB6544">
            <w:pPr>
              <w:jc w:val="center"/>
            </w:pPr>
            <w:r w:rsidRPr="62385CB5">
              <w:rPr>
                <w:rFonts w:eastAsia="Arial" w:cs="Arial"/>
                <w:color w:val="000000" w:themeColor="text1"/>
                <w:sz w:val="22"/>
                <w:szCs w:val="22"/>
              </w:rPr>
              <w:t xml:space="preserve">-2.28% </w:t>
            </w:r>
          </w:p>
        </w:tc>
        <w:tc>
          <w:tcPr>
            <w:tcW w:w="1770" w:type="dxa"/>
            <w:tcBorders>
              <w:top w:val="single" w:sz="4" w:space="0" w:color="auto"/>
              <w:left w:val="single" w:sz="4" w:space="0" w:color="auto"/>
              <w:bottom w:val="single" w:sz="8" w:space="0" w:color="auto"/>
              <w:right w:val="single" w:sz="4" w:space="0" w:color="auto"/>
            </w:tcBorders>
            <w:shd w:val="clear" w:color="auto" w:fill="C5E0B3" w:themeFill="accent6" w:themeFillTint="66"/>
          </w:tcPr>
          <w:p w14:paraId="36D13625" w14:textId="77777777" w:rsidR="001400A4" w:rsidRPr="00567CD5" w:rsidRDefault="006219DA" w:rsidP="00AB6544">
            <w:pPr>
              <w:jc w:val="center"/>
              <w:rPr>
                <w:sz w:val="22"/>
                <w:szCs w:val="22"/>
              </w:rPr>
            </w:pPr>
            <w:r w:rsidRPr="00567CD5">
              <w:rPr>
                <w:rFonts w:cs="Arial"/>
                <w:sz w:val="22"/>
                <w:szCs w:val="22"/>
                <w:lang w:eastAsia="en-GB"/>
              </w:rPr>
              <w:t>-0.59%</w:t>
            </w:r>
            <w:r w:rsidRPr="00567CD5">
              <w:rPr>
                <w:rFonts w:ascii="Segoe UI" w:eastAsia="Segoe UI" w:hAnsi="Segoe UI" w:cs="Segoe UI"/>
                <w:color w:val="000000" w:themeColor="text1"/>
                <w:sz w:val="22"/>
                <w:szCs w:val="22"/>
              </w:rPr>
              <w:t xml:space="preserve"> </w:t>
            </w:r>
          </w:p>
        </w:tc>
        <w:tc>
          <w:tcPr>
            <w:tcW w:w="1980" w:type="dxa"/>
            <w:tcBorders>
              <w:top w:val="single" w:sz="4" w:space="0" w:color="auto"/>
              <w:left w:val="single" w:sz="4" w:space="0" w:color="auto"/>
              <w:bottom w:val="single" w:sz="8" w:space="0" w:color="auto"/>
              <w:right w:val="single" w:sz="4" w:space="0" w:color="auto"/>
            </w:tcBorders>
            <w:shd w:val="clear" w:color="auto" w:fill="C5E0B3" w:themeFill="accent6" w:themeFillTint="66"/>
          </w:tcPr>
          <w:p w14:paraId="1316F98B" w14:textId="64F8EE36" w:rsidR="001400A4" w:rsidRPr="00567CD5" w:rsidRDefault="006219DA" w:rsidP="00AB6544">
            <w:pPr>
              <w:jc w:val="center"/>
              <w:rPr>
                <w:sz w:val="22"/>
                <w:szCs w:val="22"/>
              </w:rPr>
            </w:pPr>
            <w:r w:rsidRPr="00567CD5">
              <w:rPr>
                <w:sz w:val="22"/>
                <w:szCs w:val="22"/>
              </w:rPr>
              <w:t>-1.87%</w:t>
            </w:r>
          </w:p>
        </w:tc>
        <w:tc>
          <w:tcPr>
            <w:tcW w:w="1200" w:type="dxa"/>
            <w:tcBorders>
              <w:top w:val="single" w:sz="4" w:space="0" w:color="auto"/>
              <w:left w:val="single" w:sz="4" w:space="0" w:color="auto"/>
              <w:bottom w:val="single" w:sz="8" w:space="0" w:color="auto"/>
              <w:right w:val="single" w:sz="4" w:space="0" w:color="auto"/>
            </w:tcBorders>
            <w:shd w:val="clear" w:color="auto" w:fill="FFFFFF" w:themeFill="background1"/>
          </w:tcPr>
          <w:p w14:paraId="737003A3" w14:textId="77777777" w:rsidR="001400A4" w:rsidRDefault="006219DA" w:rsidP="00AB6544">
            <w:pPr>
              <w:jc w:val="center"/>
            </w:pPr>
            <w:r w:rsidRPr="62385CB5">
              <w:rPr>
                <w:rFonts w:ascii="Calibri" w:hAnsi="Calibri" w:cs="Calibri"/>
                <w:color w:val="000000" w:themeColor="text1"/>
                <w:sz w:val="22"/>
                <w:szCs w:val="22"/>
              </w:rPr>
              <w:t xml:space="preserve"> </w:t>
            </w:r>
            <w:r w:rsidRPr="62385CB5">
              <w:rPr>
                <w:rFonts w:eastAsia="Arial" w:cs="Arial"/>
                <w:color w:val="000000" w:themeColor="text1"/>
                <w:sz w:val="22"/>
                <w:szCs w:val="22"/>
              </w:rPr>
              <w:t>0%</w:t>
            </w:r>
          </w:p>
        </w:tc>
      </w:tr>
      <w:tr w:rsidR="00176ACB" w14:paraId="1981B1AE" w14:textId="77777777" w:rsidTr="4E6013FB">
        <w:trPr>
          <w:trHeight w:val="840"/>
        </w:trPr>
        <w:tc>
          <w:tcPr>
            <w:tcW w:w="1935" w:type="dxa"/>
            <w:tcBorders>
              <w:top w:val="single" w:sz="8" w:space="0" w:color="auto"/>
              <w:left w:val="single" w:sz="4" w:space="0" w:color="auto"/>
              <w:bottom w:val="single" w:sz="4" w:space="0" w:color="auto"/>
              <w:right w:val="single" w:sz="4" w:space="0" w:color="auto"/>
            </w:tcBorders>
          </w:tcPr>
          <w:p w14:paraId="17C7D1B9" w14:textId="77777777" w:rsidR="001400A4" w:rsidRDefault="006219DA" w:rsidP="00AB6544">
            <w:pPr>
              <w:jc w:val="left"/>
            </w:pPr>
            <w:r w:rsidRPr="62385CB5">
              <w:rPr>
                <w:rFonts w:eastAsia="Arial" w:cs="Arial"/>
                <w:color w:val="000000" w:themeColor="text1"/>
                <w:sz w:val="22"/>
                <w:szCs w:val="22"/>
              </w:rPr>
              <w:lastRenderedPageBreak/>
              <w:t xml:space="preserve">Proportion of budget supported by reserves  </w:t>
            </w:r>
          </w:p>
        </w:tc>
        <w:tc>
          <w:tcPr>
            <w:tcW w:w="1305" w:type="dxa"/>
            <w:tcBorders>
              <w:top w:val="single" w:sz="8" w:space="0" w:color="auto"/>
              <w:left w:val="single" w:sz="4" w:space="0" w:color="auto"/>
              <w:bottom w:val="single" w:sz="4" w:space="0" w:color="auto"/>
              <w:right w:val="single" w:sz="4" w:space="0" w:color="auto"/>
            </w:tcBorders>
          </w:tcPr>
          <w:p w14:paraId="67C57661" w14:textId="77777777" w:rsidR="001400A4" w:rsidRDefault="006219DA" w:rsidP="00AB6544">
            <w:pPr>
              <w:jc w:val="left"/>
            </w:pPr>
            <w:r w:rsidRPr="62385CB5">
              <w:rPr>
                <w:rFonts w:eastAsia="Arial" w:cs="Arial"/>
                <w:color w:val="000000" w:themeColor="text1"/>
                <w:sz w:val="22"/>
                <w:szCs w:val="22"/>
              </w:rPr>
              <w:t xml:space="preserve">Annual </w:t>
            </w:r>
          </w:p>
        </w:tc>
        <w:tc>
          <w:tcPr>
            <w:tcW w:w="1350" w:type="dxa"/>
            <w:tcBorders>
              <w:top w:val="single" w:sz="8" w:space="0" w:color="auto"/>
              <w:left w:val="single" w:sz="4" w:space="0" w:color="auto"/>
              <w:bottom w:val="single" w:sz="4" w:space="0" w:color="auto"/>
              <w:right w:val="single" w:sz="4" w:space="0" w:color="auto"/>
            </w:tcBorders>
          </w:tcPr>
          <w:p w14:paraId="1D5B4EB7" w14:textId="235EF3A1" w:rsidR="001400A4" w:rsidRDefault="006219DA" w:rsidP="00AB6544">
            <w:pPr>
              <w:jc w:val="left"/>
            </w:pPr>
            <w:r w:rsidRPr="4E6013FB">
              <w:rPr>
                <w:rFonts w:eastAsia="Arial" w:cs="Arial"/>
                <w:color w:val="000000" w:themeColor="text1"/>
                <w:sz w:val="22"/>
                <w:szCs w:val="22"/>
              </w:rPr>
              <w:t xml:space="preserve">Chief Executive and Director of Resource </w:t>
            </w:r>
          </w:p>
        </w:tc>
        <w:tc>
          <w:tcPr>
            <w:tcW w:w="9270" w:type="dxa"/>
            <w:gridSpan w:val="6"/>
            <w:tcBorders>
              <w:top w:val="single" w:sz="8" w:space="0" w:color="auto"/>
              <w:left w:val="single" w:sz="4" w:space="0" w:color="auto"/>
              <w:bottom w:val="single" w:sz="4" w:space="0" w:color="auto"/>
              <w:right w:val="single" w:sz="4" w:space="0" w:color="auto"/>
            </w:tcBorders>
          </w:tcPr>
          <w:p w14:paraId="52E79666" w14:textId="77777777" w:rsidR="001400A4" w:rsidRDefault="006219DA" w:rsidP="00AB6544">
            <w:pPr>
              <w:jc w:val="left"/>
            </w:pPr>
            <w:r w:rsidRPr="62385CB5">
              <w:rPr>
                <w:rFonts w:eastAsia="Arial" w:cs="Arial"/>
                <w:color w:val="000000" w:themeColor="text1"/>
                <w:sz w:val="22"/>
                <w:szCs w:val="22"/>
              </w:rPr>
              <w:t xml:space="preserve">Annual Statement – schedule to be confirmed </w:t>
            </w:r>
          </w:p>
        </w:tc>
      </w:tr>
      <w:tr w:rsidR="00176ACB" w14:paraId="06A6A00E" w14:textId="77777777" w:rsidTr="4E6013FB">
        <w:trPr>
          <w:trHeight w:val="1770"/>
        </w:trPr>
        <w:tc>
          <w:tcPr>
            <w:tcW w:w="1935" w:type="dxa"/>
            <w:tcBorders>
              <w:top w:val="single" w:sz="4" w:space="0" w:color="auto"/>
              <w:left w:val="single" w:sz="4" w:space="0" w:color="auto"/>
              <w:bottom w:val="single" w:sz="4" w:space="0" w:color="auto"/>
              <w:right w:val="single" w:sz="4" w:space="0" w:color="auto"/>
            </w:tcBorders>
          </w:tcPr>
          <w:p w14:paraId="1F8A25E6" w14:textId="77777777" w:rsidR="001400A4" w:rsidRDefault="006219DA" w:rsidP="00AB6544">
            <w:pPr>
              <w:jc w:val="left"/>
            </w:pPr>
            <w:r w:rsidRPr="62385CB5">
              <w:rPr>
                <w:rFonts w:eastAsia="Arial" w:cs="Arial"/>
                <w:color w:val="000000" w:themeColor="text1"/>
                <w:sz w:val="22"/>
                <w:szCs w:val="22"/>
              </w:rPr>
              <w:t xml:space="preserve">Audit report </w:t>
            </w:r>
          </w:p>
        </w:tc>
        <w:tc>
          <w:tcPr>
            <w:tcW w:w="1305" w:type="dxa"/>
            <w:tcBorders>
              <w:top w:val="single" w:sz="4" w:space="0" w:color="auto"/>
              <w:left w:val="single" w:sz="4" w:space="0" w:color="auto"/>
              <w:bottom w:val="single" w:sz="4" w:space="0" w:color="auto"/>
              <w:right w:val="single" w:sz="4" w:space="0" w:color="auto"/>
            </w:tcBorders>
          </w:tcPr>
          <w:p w14:paraId="11DC9930" w14:textId="77777777" w:rsidR="001400A4" w:rsidRDefault="006219DA" w:rsidP="00AB6544">
            <w:pPr>
              <w:jc w:val="left"/>
            </w:pPr>
            <w:r w:rsidRPr="62385CB5">
              <w:rPr>
                <w:rFonts w:eastAsia="Arial" w:cs="Arial"/>
                <w:color w:val="000000" w:themeColor="text1"/>
                <w:sz w:val="22"/>
                <w:szCs w:val="22"/>
              </w:rPr>
              <w:t xml:space="preserve">Annual </w:t>
            </w:r>
          </w:p>
        </w:tc>
        <w:tc>
          <w:tcPr>
            <w:tcW w:w="1350" w:type="dxa"/>
            <w:tcBorders>
              <w:top w:val="single" w:sz="4" w:space="0" w:color="auto"/>
              <w:left w:val="single" w:sz="4" w:space="0" w:color="auto"/>
              <w:bottom w:val="single" w:sz="4" w:space="0" w:color="auto"/>
              <w:right w:val="single" w:sz="4" w:space="0" w:color="auto"/>
            </w:tcBorders>
          </w:tcPr>
          <w:p w14:paraId="56ED757E" w14:textId="7DAEB0F5" w:rsidR="001400A4" w:rsidRDefault="006219DA" w:rsidP="00AB6544">
            <w:pPr>
              <w:jc w:val="left"/>
            </w:pPr>
            <w:r w:rsidRPr="4E6013FB">
              <w:rPr>
                <w:rFonts w:eastAsia="Arial" w:cs="Arial"/>
                <w:color w:val="000000" w:themeColor="text1"/>
                <w:sz w:val="22"/>
                <w:szCs w:val="22"/>
              </w:rPr>
              <w:t>Chief Executive and Director of Resources</w:t>
            </w:r>
          </w:p>
        </w:tc>
        <w:tc>
          <w:tcPr>
            <w:tcW w:w="9270" w:type="dxa"/>
            <w:gridSpan w:val="6"/>
            <w:tcBorders>
              <w:top w:val="single" w:sz="4" w:space="0" w:color="auto"/>
              <w:left w:val="single" w:sz="4" w:space="0" w:color="auto"/>
              <w:bottom w:val="single" w:sz="4" w:space="0" w:color="auto"/>
              <w:right w:val="single" w:sz="4" w:space="0" w:color="auto"/>
            </w:tcBorders>
          </w:tcPr>
          <w:p w14:paraId="6EC13F4F" w14:textId="77777777" w:rsidR="001400A4" w:rsidRDefault="006219DA" w:rsidP="00AB6544">
            <w:pPr>
              <w:jc w:val="left"/>
            </w:pPr>
            <w:r w:rsidRPr="62385CB5">
              <w:rPr>
                <w:rFonts w:eastAsia="Arial" w:cs="Arial"/>
                <w:color w:val="000000" w:themeColor="text1"/>
                <w:sz w:val="22"/>
                <w:szCs w:val="22"/>
              </w:rPr>
              <w:t xml:space="preserve">Annual Statement – schedule to be confirmed </w:t>
            </w:r>
          </w:p>
        </w:tc>
      </w:tr>
      <w:tr w:rsidR="00176ACB" w14:paraId="73AF37E0" w14:textId="77777777" w:rsidTr="4E6013FB">
        <w:trPr>
          <w:trHeight w:val="840"/>
        </w:trPr>
        <w:tc>
          <w:tcPr>
            <w:tcW w:w="1935" w:type="dxa"/>
            <w:tcBorders>
              <w:top w:val="single" w:sz="4" w:space="0" w:color="auto"/>
              <w:left w:val="single" w:sz="4" w:space="0" w:color="auto"/>
              <w:bottom w:val="single" w:sz="4" w:space="0" w:color="auto"/>
              <w:right w:val="single" w:sz="4" w:space="0" w:color="auto"/>
            </w:tcBorders>
          </w:tcPr>
          <w:p w14:paraId="4156F15B" w14:textId="77777777" w:rsidR="001400A4" w:rsidRDefault="006219DA" w:rsidP="00AB6544">
            <w:pPr>
              <w:jc w:val="left"/>
            </w:pPr>
            <w:r w:rsidRPr="62385CB5">
              <w:rPr>
                <w:rFonts w:eastAsia="Arial" w:cs="Arial"/>
                <w:color w:val="000000" w:themeColor="text1"/>
                <w:sz w:val="22"/>
                <w:szCs w:val="22"/>
              </w:rPr>
              <w:t xml:space="preserve">Progress on organisational development  </w:t>
            </w:r>
          </w:p>
        </w:tc>
        <w:tc>
          <w:tcPr>
            <w:tcW w:w="1305" w:type="dxa"/>
            <w:tcBorders>
              <w:top w:val="single" w:sz="4" w:space="0" w:color="auto"/>
              <w:left w:val="single" w:sz="4" w:space="0" w:color="auto"/>
              <w:bottom w:val="single" w:sz="4" w:space="0" w:color="auto"/>
              <w:right w:val="single" w:sz="4" w:space="0" w:color="auto"/>
            </w:tcBorders>
          </w:tcPr>
          <w:p w14:paraId="3F7619B5" w14:textId="77777777" w:rsidR="001400A4" w:rsidRDefault="006219DA" w:rsidP="00AB6544">
            <w:pPr>
              <w:jc w:val="left"/>
            </w:pPr>
            <w:r w:rsidRPr="62385CB5">
              <w:rPr>
                <w:rFonts w:eastAsia="Arial" w:cs="Arial"/>
                <w:color w:val="000000" w:themeColor="text1"/>
                <w:sz w:val="22"/>
                <w:szCs w:val="22"/>
              </w:rPr>
              <w:t xml:space="preserve">Annual </w:t>
            </w:r>
          </w:p>
        </w:tc>
        <w:tc>
          <w:tcPr>
            <w:tcW w:w="1350" w:type="dxa"/>
            <w:tcBorders>
              <w:top w:val="single" w:sz="4" w:space="0" w:color="auto"/>
              <w:left w:val="single" w:sz="4" w:space="0" w:color="auto"/>
              <w:bottom w:val="single" w:sz="4" w:space="0" w:color="auto"/>
              <w:right w:val="single" w:sz="4" w:space="0" w:color="auto"/>
            </w:tcBorders>
          </w:tcPr>
          <w:p w14:paraId="30C512F1" w14:textId="77777777" w:rsidR="001400A4" w:rsidRDefault="006219DA" w:rsidP="00AB6544">
            <w:pPr>
              <w:jc w:val="left"/>
            </w:pPr>
            <w:r w:rsidRPr="62385CB5">
              <w:rPr>
                <w:rFonts w:eastAsia="Arial" w:cs="Arial"/>
                <w:color w:val="000000" w:themeColor="text1"/>
                <w:sz w:val="22"/>
                <w:szCs w:val="22"/>
              </w:rPr>
              <w:t xml:space="preserve">Chief Executive and Director of Resources </w:t>
            </w:r>
          </w:p>
        </w:tc>
        <w:tc>
          <w:tcPr>
            <w:tcW w:w="9270" w:type="dxa"/>
            <w:gridSpan w:val="6"/>
            <w:tcBorders>
              <w:top w:val="single" w:sz="4" w:space="0" w:color="auto"/>
              <w:left w:val="single" w:sz="4" w:space="0" w:color="auto"/>
              <w:bottom w:val="single" w:sz="4" w:space="0" w:color="auto"/>
              <w:right w:val="single" w:sz="4" w:space="0" w:color="auto"/>
            </w:tcBorders>
          </w:tcPr>
          <w:p w14:paraId="13746765" w14:textId="77777777" w:rsidR="001400A4" w:rsidRDefault="006219DA" w:rsidP="00AB6544">
            <w:pPr>
              <w:jc w:val="left"/>
            </w:pPr>
            <w:r w:rsidRPr="62385CB5">
              <w:rPr>
                <w:rFonts w:eastAsia="Arial" w:cs="Arial"/>
                <w:color w:val="000000" w:themeColor="text1"/>
                <w:sz w:val="22"/>
                <w:szCs w:val="22"/>
              </w:rPr>
              <w:t>Annual Report – schedule to be confirmed</w:t>
            </w:r>
          </w:p>
        </w:tc>
      </w:tr>
    </w:tbl>
    <w:p w14:paraId="643EEA7D" w14:textId="77777777" w:rsidR="00A66D6E" w:rsidRDefault="00A66D6E" w:rsidP="00794DD3">
      <w:pPr>
        <w:rPr>
          <w:rFonts w:cs="Arial"/>
          <w:b/>
          <w:bCs/>
          <w:color w:val="auto"/>
          <w:sz w:val="22"/>
          <w:szCs w:val="22"/>
        </w:rPr>
      </w:pPr>
    </w:p>
    <w:p w14:paraId="6E9DCFE9" w14:textId="079754FA" w:rsidR="008E7297" w:rsidRPr="00B847CF" w:rsidRDefault="006219DA" w:rsidP="00B847CF">
      <w:pPr>
        <w:pStyle w:val="Style1"/>
        <w:rPr>
          <w:b w:val="0"/>
          <w:bCs w:val="0"/>
        </w:rPr>
      </w:pPr>
      <w:r w:rsidRPr="62385CB5">
        <w:t xml:space="preserve">Sickness absence. </w:t>
      </w:r>
      <w:r w:rsidR="00422387" w:rsidRPr="00B847CF">
        <w:rPr>
          <w:b w:val="0"/>
          <w:bCs w:val="0"/>
        </w:rPr>
        <w:t>There is</w:t>
      </w:r>
      <w:r w:rsidRPr="00B847CF">
        <w:rPr>
          <w:b w:val="0"/>
          <w:bCs w:val="0"/>
        </w:rPr>
        <w:t xml:space="preserve"> a steady rise in the </w:t>
      </w:r>
      <w:r w:rsidR="00511630" w:rsidRPr="00B847CF">
        <w:rPr>
          <w:b w:val="0"/>
          <w:bCs w:val="0"/>
        </w:rPr>
        <w:t xml:space="preserve">sickness absence rate per FTE </w:t>
      </w:r>
      <w:r w:rsidRPr="00B847CF">
        <w:rPr>
          <w:b w:val="0"/>
          <w:bCs w:val="0"/>
        </w:rPr>
        <w:t xml:space="preserve">which has increased each month since May 21, following </w:t>
      </w:r>
      <w:r w:rsidR="00422387" w:rsidRPr="00B847CF">
        <w:rPr>
          <w:b w:val="0"/>
          <w:bCs w:val="0"/>
        </w:rPr>
        <w:t xml:space="preserve">the </w:t>
      </w:r>
      <w:r w:rsidRPr="00B847CF">
        <w:rPr>
          <w:b w:val="0"/>
          <w:bCs w:val="0"/>
        </w:rPr>
        <w:t>lowest figures in Apr</w:t>
      </w:r>
      <w:r w:rsidR="00685C54" w:rsidRPr="00B847CF">
        <w:rPr>
          <w:b w:val="0"/>
          <w:bCs w:val="0"/>
        </w:rPr>
        <w:t>il</w:t>
      </w:r>
      <w:r w:rsidRPr="00B847CF">
        <w:rPr>
          <w:b w:val="0"/>
          <w:bCs w:val="0"/>
        </w:rPr>
        <w:t xml:space="preserve"> 21 (10.64). Recent month-by-month analysis comparing the number of absences over the last three years, indicated a similar trend for the June to September period, with 2021 figures being slightly below 2019. During this quarter, the number of new long-term absence cases has slowly declined from 183 to 114.</w:t>
      </w:r>
    </w:p>
    <w:p w14:paraId="4706C671" w14:textId="77777777" w:rsidR="00656378" w:rsidRDefault="00656378" w:rsidP="00B847CF">
      <w:pPr>
        <w:pStyle w:val="Style1"/>
        <w:rPr>
          <w:b w:val="0"/>
          <w:bCs w:val="0"/>
        </w:rPr>
      </w:pPr>
    </w:p>
    <w:p w14:paraId="373E013A" w14:textId="561CE4B5" w:rsidR="008E7297" w:rsidRDefault="006219DA" w:rsidP="00B847CF">
      <w:pPr>
        <w:pStyle w:val="Style1"/>
        <w:rPr>
          <w:b w:val="0"/>
          <w:bCs w:val="0"/>
        </w:rPr>
      </w:pPr>
      <w:r w:rsidRPr="00B847CF">
        <w:rPr>
          <w:b w:val="0"/>
          <w:bCs w:val="0"/>
        </w:rPr>
        <w:t xml:space="preserve">The top reasons for absence continue to be </w:t>
      </w:r>
      <w:r w:rsidR="00152848" w:rsidRPr="00B847CF">
        <w:rPr>
          <w:b w:val="0"/>
          <w:bCs w:val="0"/>
        </w:rPr>
        <w:t>m</w:t>
      </w:r>
      <w:r w:rsidRPr="00B847CF">
        <w:rPr>
          <w:b w:val="0"/>
          <w:bCs w:val="0"/>
        </w:rPr>
        <w:t xml:space="preserve">ental and </w:t>
      </w:r>
      <w:r w:rsidR="00152848" w:rsidRPr="00B847CF">
        <w:rPr>
          <w:b w:val="0"/>
          <w:bCs w:val="0"/>
        </w:rPr>
        <w:t>b</w:t>
      </w:r>
      <w:r w:rsidRPr="00B847CF">
        <w:rPr>
          <w:b w:val="0"/>
          <w:bCs w:val="0"/>
        </w:rPr>
        <w:t xml:space="preserve">ehavioural disorders which account for 36.43% of days lost, a reduction since the last quarter (37.93%). Musculoskeletal related absences are second with 12.81%, followed by Covid-19, accounting for 10.02% of days lost. </w:t>
      </w:r>
      <w:r w:rsidR="00152848" w:rsidRPr="00B847CF">
        <w:rPr>
          <w:b w:val="0"/>
          <w:bCs w:val="0"/>
        </w:rPr>
        <w:t>There has been</w:t>
      </w:r>
      <w:r w:rsidRPr="00B847CF">
        <w:rPr>
          <w:b w:val="0"/>
          <w:bCs w:val="0"/>
        </w:rPr>
        <w:t xml:space="preserve"> a steady increase in the average number of days lost per Covid absence, from an average of 3.8 days in April to 6.3 days in September. </w:t>
      </w:r>
      <w:r w:rsidR="00351A9B" w:rsidRPr="00B847CF">
        <w:rPr>
          <w:b w:val="0"/>
          <w:bCs w:val="0"/>
        </w:rPr>
        <w:t xml:space="preserve">The </w:t>
      </w:r>
      <w:r w:rsidRPr="00B847CF">
        <w:rPr>
          <w:b w:val="0"/>
          <w:bCs w:val="0"/>
        </w:rPr>
        <w:t xml:space="preserve">number of Long-Covid absences </w:t>
      </w:r>
      <w:r w:rsidR="00351A9B" w:rsidRPr="00B847CF">
        <w:rPr>
          <w:b w:val="0"/>
          <w:bCs w:val="0"/>
        </w:rPr>
        <w:t>continue to be closely monitored</w:t>
      </w:r>
      <w:r w:rsidR="00716089" w:rsidRPr="00B847CF">
        <w:rPr>
          <w:b w:val="0"/>
          <w:bCs w:val="0"/>
        </w:rPr>
        <w:t xml:space="preserve"> with HR</w:t>
      </w:r>
      <w:r w:rsidR="0024437E" w:rsidRPr="00B847CF">
        <w:rPr>
          <w:b w:val="0"/>
          <w:bCs w:val="0"/>
        </w:rPr>
        <w:t xml:space="preserve"> </w:t>
      </w:r>
      <w:r w:rsidR="00716089" w:rsidRPr="00B847CF">
        <w:rPr>
          <w:b w:val="0"/>
          <w:bCs w:val="0"/>
        </w:rPr>
        <w:t xml:space="preserve">resources directed to </w:t>
      </w:r>
      <w:r w:rsidRPr="00B847CF">
        <w:rPr>
          <w:b w:val="0"/>
          <w:bCs w:val="0"/>
        </w:rPr>
        <w:t>provide support and guidance to services for these cases.</w:t>
      </w:r>
    </w:p>
    <w:p w14:paraId="2D7ECDAC" w14:textId="77777777" w:rsidR="0010773B" w:rsidRPr="00B847CF" w:rsidRDefault="0010773B" w:rsidP="00B847CF">
      <w:pPr>
        <w:pStyle w:val="Style1"/>
        <w:rPr>
          <w:b w:val="0"/>
          <w:bCs w:val="0"/>
        </w:rPr>
      </w:pPr>
    </w:p>
    <w:p w14:paraId="0D0C5DC5" w14:textId="77777777" w:rsidR="0010773B" w:rsidRDefault="0010773B" w:rsidP="00567CD5">
      <w:pPr>
        <w:rPr>
          <w:rFonts w:cs="Arial"/>
          <w:b/>
          <w:bCs/>
          <w:color w:val="auto"/>
          <w:sz w:val="22"/>
          <w:szCs w:val="22"/>
        </w:rPr>
      </w:pPr>
    </w:p>
    <w:p w14:paraId="57291ACC" w14:textId="5C3F8CE0" w:rsidR="00567CD5" w:rsidRPr="0010773B" w:rsidRDefault="006219DA" w:rsidP="0010773B">
      <w:pPr>
        <w:pStyle w:val="Style1"/>
        <w:rPr>
          <w:b w:val="0"/>
          <w:bCs w:val="0"/>
        </w:rPr>
      </w:pPr>
      <w:r w:rsidRPr="0010773B">
        <w:lastRenderedPageBreak/>
        <w:t>Revenue forecast outturn % variance to budget.</w:t>
      </w:r>
      <w:r w:rsidRPr="0010773B">
        <w:rPr>
          <w:b w:val="0"/>
          <w:bCs w:val="0"/>
          <w:color w:val="FF0000"/>
        </w:rPr>
        <w:t xml:space="preserve"> </w:t>
      </w:r>
      <w:r w:rsidRPr="0010773B">
        <w:rPr>
          <w:b w:val="0"/>
          <w:bCs w:val="0"/>
        </w:rPr>
        <w:t xml:space="preserve">The Q2 forecast is an underspend of £16.441m, which is 1.87% of the county council's net budget. The underspend is due to a combination of variances across services including underspends on Treasury Management and Children's Social Care offset by overspends on Adult Services and Highways and Transport. This is the second forecast of the financial year. A number of assumptions are made based on expenditure and income to date and knowledge of future activity from </w:t>
      </w:r>
      <w:r w:rsidR="00496D55" w:rsidRPr="0010773B">
        <w:rPr>
          <w:b w:val="0"/>
          <w:bCs w:val="0"/>
        </w:rPr>
        <w:t>b</w:t>
      </w:r>
      <w:r w:rsidRPr="0010773B">
        <w:rPr>
          <w:b w:val="0"/>
          <w:bCs w:val="0"/>
        </w:rPr>
        <w:t xml:space="preserve">udget </w:t>
      </w:r>
      <w:r w:rsidR="00496D55" w:rsidRPr="0010773B">
        <w:rPr>
          <w:b w:val="0"/>
          <w:bCs w:val="0"/>
        </w:rPr>
        <w:t>h</w:t>
      </w:r>
      <w:r w:rsidRPr="0010773B">
        <w:rPr>
          <w:b w:val="0"/>
          <w:bCs w:val="0"/>
        </w:rPr>
        <w:t xml:space="preserve">olders. </w:t>
      </w:r>
      <w:r w:rsidR="00496D55" w:rsidRPr="0010773B">
        <w:rPr>
          <w:b w:val="0"/>
          <w:bCs w:val="0"/>
        </w:rPr>
        <w:t xml:space="preserve">The </w:t>
      </w:r>
      <w:r w:rsidRPr="0010773B">
        <w:rPr>
          <w:b w:val="0"/>
          <w:bCs w:val="0"/>
        </w:rPr>
        <w:t xml:space="preserve">impact of the pandemic </w:t>
      </w:r>
      <w:r w:rsidR="00496D55" w:rsidRPr="0010773B">
        <w:rPr>
          <w:b w:val="0"/>
          <w:bCs w:val="0"/>
        </w:rPr>
        <w:t xml:space="preserve">is being closely monitored </w:t>
      </w:r>
      <w:r w:rsidRPr="0010773B">
        <w:rPr>
          <w:b w:val="0"/>
          <w:bCs w:val="0"/>
        </w:rPr>
        <w:t xml:space="preserve">as restrictions are now lifted, and demand returns to a pre pandemic level. </w:t>
      </w:r>
      <w:r w:rsidR="00496D55" w:rsidRPr="0010773B">
        <w:rPr>
          <w:b w:val="0"/>
          <w:bCs w:val="0"/>
        </w:rPr>
        <w:t xml:space="preserve">There may </w:t>
      </w:r>
      <w:r w:rsidR="005C0269" w:rsidRPr="0010773B">
        <w:rPr>
          <w:b w:val="0"/>
          <w:bCs w:val="0"/>
        </w:rPr>
        <w:t>be</w:t>
      </w:r>
      <w:r w:rsidRPr="0010773B">
        <w:rPr>
          <w:b w:val="0"/>
          <w:bCs w:val="0"/>
        </w:rPr>
        <w:t xml:space="preserve"> significant variances as the backlog of issues pertaining to the pandemic</w:t>
      </w:r>
      <w:r w:rsidR="005C0269" w:rsidRPr="0010773B">
        <w:rPr>
          <w:b w:val="0"/>
          <w:bCs w:val="0"/>
        </w:rPr>
        <w:t xml:space="preserve"> are dealt with</w:t>
      </w:r>
      <w:r w:rsidRPr="0010773B">
        <w:rPr>
          <w:b w:val="0"/>
          <w:bCs w:val="0"/>
        </w:rPr>
        <w:t>.</w:t>
      </w:r>
    </w:p>
    <w:p w14:paraId="502140AF" w14:textId="77777777" w:rsidR="004D035D" w:rsidRPr="00567CD5" w:rsidRDefault="004D035D" w:rsidP="00567CD5">
      <w:pPr>
        <w:rPr>
          <w:rFonts w:cs="Arial"/>
          <w:b/>
          <w:bCs/>
          <w:color w:val="FF0000"/>
          <w:sz w:val="22"/>
          <w:szCs w:val="22"/>
        </w:rPr>
      </w:pPr>
    </w:p>
    <w:p w14:paraId="0C0190EE" w14:textId="7AC5C79D" w:rsidR="00794DD3" w:rsidRPr="007164B6" w:rsidRDefault="006219DA" w:rsidP="00A64FFE">
      <w:pPr>
        <w:pStyle w:val="Style1"/>
        <w:rPr>
          <w:b w:val="0"/>
          <w:bCs w:val="0"/>
        </w:rPr>
      </w:pPr>
      <w:r w:rsidRPr="001B1936">
        <w:t>Additional service developments</w:t>
      </w:r>
      <w:r>
        <w:rPr>
          <w:b w:val="0"/>
          <w:bCs w:val="0"/>
        </w:rPr>
        <w:t xml:space="preserve">. </w:t>
      </w:r>
      <w:r w:rsidR="00654F8B" w:rsidRPr="007164B6">
        <w:rPr>
          <w:b w:val="0"/>
          <w:bCs w:val="0"/>
        </w:rPr>
        <w:t xml:space="preserve">In addition to the above established key performance indicators many other service developments, projects and achievements are ongoing </w:t>
      </w:r>
      <w:r w:rsidR="009E5921">
        <w:rPr>
          <w:b w:val="0"/>
          <w:bCs w:val="0"/>
        </w:rPr>
        <w:t>which support</w:t>
      </w:r>
      <w:r w:rsidR="00654F8B" w:rsidRPr="007164B6">
        <w:rPr>
          <w:b w:val="0"/>
          <w:bCs w:val="0"/>
        </w:rPr>
        <w:t xml:space="preserve"> the Delivering Better Services corporate priority.  Performance metrics are being developed for these areas, along with associated targets where appropriate</w:t>
      </w:r>
      <w:r w:rsidR="0004094C">
        <w:rPr>
          <w:b w:val="0"/>
          <w:bCs w:val="0"/>
        </w:rPr>
        <w:t>,</w:t>
      </w:r>
      <w:r w:rsidR="00654F8B" w:rsidRPr="007164B6">
        <w:rPr>
          <w:b w:val="0"/>
          <w:bCs w:val="0"/>
        </w:rPr>
        <w:t xml:space="preserve"> for inclusion in future reports.</w:t>
      </w:r>
    </w:p>
    <w:p w14:paraId="1D59EBD0" w14:textId="2F818EBD" w:rsidR="00654F8B" w:rsidRPr="007164B6" w:rsidRDefault="006219DA" w:rsidP="4E6013FB">
      <w:pPr>
        <w:rPr>
          <w:color w:val="000000" w:themeColor="text1"/>
        </w:rPr>
      </w:pPr>
      <w:r w:rsidRPr="007164B6">
        <w:rPr>
          <w:color w:val="000000" w:themeColor="text1"/>
        </w:rPr>
        <w:t xml:space="preserve">These </w:t>
      </w:r>
      <w:r w:rsidR="006906D5" w:rsidRPr="007164B6">
        <w:rPr>
          <w:color w:val="000000" w:themeColor="text1"/>
        </w:rPr>
        <w:t xml:space="preserve">service </w:t>
      </w:r>
      <w:r w:rsidRPr="007164B6">
        <w:rPr>
          <w:color w:val="000000" w:themeColor="text1"/>
        </w:rPr>
        <w:t>development areas include:</w:t>
      </w:r>
    </w:p>
    <w:p w14:paraId="19682055" w14:textId="301E1CCB" w:rsidR="0017463E" w:rsidRPr="00D54336" w:rsidRDefault="006219DA" w:rsidP="0017463E">
      <w:pPr>
        <w:pStyle w:val="ListParagraph"/>
        <w:numPr>
          <w:ilvl w:val="0"/>
          <w:numId w:val="3"/>
        </w:numPr>
        <w:rPr>
          <w:b/>
          <w:bCs/>
          <w:color w:val="000000" w:themeColor="text1"/>
        </w:rPr>
      </w:pPr>
      <w:r w:rsidRPr="00D54336">
        <w:t xml:space="preserve">Initiating a transformation programme </w:t>
      </w:r>
      <w:r w:rsidR="005A15F5" w:rsidRPr="00D54336">
        <w:t>(Our Improvement Journey)</w:t>
      </w:r>
      <w:r w:rsidRPr="00D54336">
        <w:t xml:space="preserve"> in the first quarter of 2020 which has been reshaped during the pandemic.</w:t>
      </w:r>
    </w:p>
    <w:p w14:paraId="6AF4F643" w14:textId="7119B892" w:rsidR="0017463E" w:rsidRPr="00D54336" w:rsidRDefault="006219DA" w:rsidP="0017463E">
      <w:pPr>
        <w:pStyle w:val="ListParagraph"/>
        <w:numPr>
          <w:ilvl w:val="0"/>
          <w:numId w:val="3"/>
        </w:numPr>
        <w:rPr>
          <w:b/>
          <w:bCs/>
          <w:color w:val="000000" w:themeColor="text1"/>
        </w:rPr>
      </w:pPr>
      <w:r w:rsidRPr="00D54336">
        <w:t xml:space="preserve">Rolling out additional technology during the early stages of the pandemic to support new ways of working </w:t>
      </w:r>
      <w:r w:rsidR="00DE499A" w:rsidRPr="00D54336">
        <w:t>with an</w:t>
      </w:r>
      <w:r w:rsidRPr="00D54336">
        <w:t xml:space="preserve"> ambitious programme of digital change. The first step is the replacement of </w:t>
      </w:r>
      <w:r w:rsidR="00673CBF" w:rsidRPr="00D54336">
        <w:t xml:space="preserve">the </w:t>
      </w:r>
      <w:r w:rsidRPr="00D54336">
        <w:t>core E</w:t>
      </w:r>
      <w:r w:rsidR="004C2135" w:rsidRPr="00D54336">
        <w:t xml:space="preserve">nterprise </w:t>
      </w:r>
      <w:r w:rsidRPr="00D54336">
        <w:t>R</w:t>
      </w:r>
      <w:r w:rsidR="004C2135" w:rsidRPr="00D54336">
        <w:t xml:space="preserve">esource </w:t>
      </w:r>
      <w:r w:rsidRPr="00D54336">
        <w:t>P</w:t>
      </w:r>
      <w:r w:rsidR="004C2135" w:rsidRPr="00D54336">
        <w:t>lanning</w:t>
      </w:r>
      <w:r w:rsidRPr="00D54336">
        <w:t xml:space="preserve"> system which is underway.</w:t>
      </w:r>
      <w:r w:rsidR="004C2F81" w:rsidRPr="00D54336">
        <w:t xml:space="preserve"> This will support delivery of better services in a number of ways including the provision of improved data and analysis across</w:t>
      </w:r>
      <w:r w:rsidR="004B010D" w:rsidRPr="00D54336">
        <w:t xml:space="preserve"> key areas such as HR, procurement and finance, to support improved </w:t>
      </w:r>
      <w:r w:rsidR="009A0A0B" w:rsidRPr="00D54336">
        <w:t>decision making and resource decisions.</w:t>
      </w:r>
      <w:r w:rsidR="004C2F81" w:rsidRPr="00D54336">
        <w:t xml:space="preserve"> </w:t>
      </w:r>
    </w:p>
    <w:p w14:paraId="20C9B1C7" w14:textId="4647CB52" w:rsidR="009C369F" w:rsidRPr="00D54336" w:rsidRDefault="006219DA" w:rsidP="009C369F">
      <w:pPr>
        <w:pStyle w:val="ListParagraph"/>
        <w:numPr>
          <w:ilvl w:val="0"/>
          <w:numId w:val="3"/>
        </w:numPr>
        <w:rPr>
          <w:b/>
          <w:bCs/>
          <w:color w:val="000000" w:themeColor="text1"/>
        </w:rPr>
      </w:pPr>
      <w:r w:rsidRPr="00D54336">
        <w:t xml:space="preserve">Major changes are already underway in Education &amp; Children's services, with large scale transformation of key parts of </w:t>
      </w:r>
      <w:r w:rsidR="00180AD9" w:rsidRPr="00D54336">
        <w:t xml:space="preserve">the </w:t>
      </w:r>
      <w:r w:rsidRPr="00D54336">
        <w:t>workforce to establish the Family Safeguarding Model, which is already showing a reduction in the number of children being taken into care, which will improve the quality of life for young people and have the added advantage that it will improve the budget profile.</w:t>
      </w:r>
    </w:p>
    <w:p w14:paraId="0360ABDA" w14:textId="46AD300B" w:rsidR="0086459C" w:rsidRPr="00D54336" w:rsidRDefault="006219DA" w:rsidP="4E6013FB">
      <w:pPr>
        <w:pStyle w:val="ListParagraph"/>
        <w:numPr>
          <w:ilvl w:val="0"/>
          <w:numId w:val="3"/>
        </w:numPr>
        <w:rPr>
          <w:b/>
          <w:bCs/>
          <w:color w:val="000000" w:themeColor="text1"/>
        </w:rPr>
      </w:pPr>
      <w:r w:rsidRPr="00D54336">
        <w:t>A programme of change is underway within Adult Services to initiate widespread improvement using the '3 conversations model'</w:t>
      </w:r>
      <w:r w:rsidR="00DE3C31" w:rsidRPr="00D54336">
        <w:t>.</w:t>
      </w:r>
    </w:p>
    <w:p w14:paraId="33A1EEC2" w14:textId="312976B9" w:rsidR="009A0A0B" w:rsidRPr="00D54336" w:rsidRDefault="006219DA" w:rsidP="005B4FE7">
      <w:pPr>
        <w:pStyle w:val="ListParagraph"/>
        <w:numPr>
          <w:ilvl w:val="0"/>
          <w:numId w:val="3"/>
        </w:numPr>
        <w:rPr>
          <w:b/>
          <w:bCs/>
          <w:color w:val="000000" w:themeColor="text1"/>
        </w:rPr>
      </w:pPr>
      <w:r w:rsidRPr="00D54336">
        <w:t xml:space="preserve">A review of the HR &amp; Skills, Learning and Development service </w:t>
      </w:r>
      <w:r w:rsidR="003C61CA" w:rsidRPr="00D54336">
        <w:t xml:space="preserve">to ensure that the skills and capacity required to support delivery of the Improvement Journey </w:t>
      </w:r>
      <w:r w:rsidR="00FB3B40" w:rsidRPr="00D54336">
        <w:t>and service improvement are understood and that we</w:t>
      </w:r>
      <w:r w:rsidR="00850D43" w:rsidRPr="00D54336">
        <w:t xml:space="preserve"> have the right resources </w:t>
      </w:r>
      <w:r w:rsidR="005B4FE7" w:rsidRPr="00D54336">
        <w:t>allocated to priorities.</w:t>
      </w:r>
    </w:p>
    <w:p w14:paraId="3D8353F5" w14:textId="42CA0540" w:rsidR="005B4FE7" w:rsidRPr="00D54336" w:rsidRDefault="006219DA" w:rsidP="005B4FE7">
      <w:pPr>
        <w:pStyle w:val="ListParagraph"/>
        <w:numPr>
          <w:ilvl w:val="0"/>
          <w:numId w:val="3"/>
        </w:numPr>
        <w:rPr>
          <w:b/>
          <w:bCs/>
          <w:color w:val="000000" w:themeColor="text1"/>
        </w:rPr>
      </w:pPr>
      <w:r w:rsidRPr="00D54336">
        <w:t>Refreshed staff survey</w:t>
      </w:r>
      <w:r w:rsidR="00194DD1" w:rsidRPr="00D54336">
        <w:t xml:space="preserve"> beginning in Nov 21</w:t>
      </w:r>
      <w:r w:rsidRPr="00D54336">
        <w:t xml:space="preserve">, </w:t>
      </w:r>
      <w:r w:rsidR="00194DD1" w:rsidRPr="00D54336">
        <w:t>which will provide additional data and metrics on staff engagement</w:t>
      </w:r>
      <w:r w:rsidR="000F4C03" w:rsidRPr="00D54336">
        <w:t xml:space="preserve"> – </w:t>
      </w:r>
      <w:r w:rsidR="00B358D6" w:rsidRPr="00D54336">
        <w:t xml:space="preserve">providing </w:t>
      </w:r>
      <w:r w:rsidR="000F4C03" w:rsidRPr="00D54336">
        <w:t xml:space="preserve">key </w:t>
      </w:r>
      <w:r w:rsidR="00AB7251" w:rsidRPr="00D54336">
        <w:t>indicators</w:t>
      </w:r>
      <w:r w:rsidR="000F4C03" w:rsidRPr="00D54336">
        <w:t xml:space="preserve"> of improvement </w:t>
      </w:r>
      <w:r w:rsidR="00B358D6" w:rsidRPr="00D54336">
        <w:t xml:space="preserve">including the Employee Engagement Index and a Net Promoter Score, which will underpin targeted </w:t>
      </w:r>
      <w:r w:rsidR="00AB7251" w:rsidRPr="00D54336">
        <w:t xml:space="preserve">work to measurably </w:t>
      </w:r>
      <w:r w:rsidR="005442A7" w:rsidRPr="00D54336">
        <w:t>'</w:t>
      </w:r>
      <w:r w:rsidR="00AB7251" w:rsidRPr="00D54336">
        <w:t>drive</w:t>
      </w:r>
      <w:r w:rsidR="005442A7" w:rsidRPr="00D54336">
        <w:t>-</w:t>
      </w:r>
      <w:r w:rsidR="00AB7251" w:rsidRPr="00D54336">
        <w:t>up</w:t>
      </w:r>
      <w:r w:rsidR="005442A7" w:rsidRPr="00D54336">
        <w:t>'</w:t>
      </w:r>
      <w:r w:rsidR="00AB7251" w:rsidRPr="00D54336">
        <w:t xml:space="preserve"> engagement.</w:t>
      </w:r>
    </w:p>
    <w:p w14:paraId="7B0A9422" w14:textId="724A11BD" w:rsidR="00B75F03" w:rsidRPr="00D54336" w:rsidRDefault="006219DA" w:rsidP="004D3AFF">
      <w:pPr>
        <w:pStyle w:val="ListParagraph"/>
        <w:numPr>
          <w:ilvl w:val="0"/>
          <w:numId w:val="3"/>
        </w:numPr>
      </w:pPr>
      <w:r w:rsidRPr="00D54336">
        <w:lastRenderedPageBreak/>
        <w:t>A refreshed performance framework</w:t>
      </w:r>
      <w:r w:rsidR="00AE6336" w:rsidRPr="00D54336">
        <w:t xml:space="preserve"> underpinning the Improvement Journey</w:t>
      </w:r>
      <w:r w:rsidR="008B7681" w:rsidRPr="00D54336">
        <w:t xml:space="preserve"> (IJ)</w:t>
      </w:r>
      <w:r w:rsidR="005E11BE" w:rsidRPr="00D54336">
        <w:t xml:space="preserve">, </w:t>
      </w:r>
      <w:r w:rsidR="00D47AD4" w:rsidRPr="00D54336">
        <w:t xml:space="preserve">providing evidence of improvement </w:t>
      </w:r>
      <w:r w:rsidR="00CD0E2C" w:rsidRPr="00D54336">
        <w:t xml:space="preserve">against the 4 cornerstones (our </w:t>
      </w:r>
      <w:r w:rsidR="00FF5C26" w:rsidRPr="00D54336">
        <w:t>culture</w:t>
      </w:r>
      <w:r w:rsidR="00CD0E2C" w:rsidRPr="00D54336">
        <w:t xml:space="preserve">, our talent, our </w:t>
      </w:r>
      <w:r w:rsidR="00224CF5" w:rsidRPr="00D54336">
        <w:t xml:space="preserve">ways of working and our </w:t>
      </w:r>
      <w:r w:rsidR="005E63EF" w:rsidRPr="00D54336">
        <w:t>organisation)</w:t>
      </w:r>
      <w:r w:rsidR="007C632F" w:rsidRPr="00D54336">
        <w:t>.</w:t>
      </w:r>
    </w:p>
    <w:p w14:paraId="142BEC63" w14:textId="75AE202C" w:rsidR="00EE374A" w:rsidRPr="00D54336" w:rsidRDefault="006219DA" w:rsidP="004D3AFF">
      <w:pPr>
        <w:pStyle w:val="ListParagraph"/>
        <w:numPr>
          <w:ilvl w:val="0"/>
          <w:numId w:val="3"/>
        </w:numPr>
      </w:pPr>
      <w:r w:rsidRPr="00D54336">
        <w:t xml:space="preserve">Developing the programme level reporting required to </w:t>
      </w:r>
      <w:r w:rsidR="008A6F04" w:rsidRPr="00D54336">
        <w:t xml:space="preserve">monitor the </w:t>
      </w:r>
      <w:r w:rsidR="005E11BE" w:rsidRPr="00D54336">
        <w:t xml:space="preserve">performance of the </w:t>
      </w:r>
      <w:r w:rsidRPr="00D54336">
        <w:t xml:space="preserve">IJ programme </w:t>
      </w:r>
      <w:r w:rsidR="005E11BE" w:rsidRPr="00D54336">
        <w:t xml:space="preserve">(through the development of key </w:t>
      </w:r>
      <w:r w:rsidRPr="00D54336">
        <w:t>indicators</w:t>
      </w:r>
      <w:r w:rsidR="005E11BE" w:rsidRPr="00D54336">
        <w:t xml:space="preserve">, </w:t>
      </w:r>
      <w:r w:rsidRPr="00D54336">
        <w:t xml:space="preserve">reporting </w:t>
      </w:r>
      <w:r w:rsidR="005E11BE" w:rsidRPr="00D54336">
        <w:t xml:space="preserve">and activity </w:t>
      </w:r>
      <w:r w:rsidRPr="00D54336">
        <w:t>dashboard</w:t>
      </w:r>
      <w:r w:rsidR="005E11BE" w:rsidRPr="00D54336">
        <w:t>s)</w:t>
      </w:r>
      <w:r w:rsidR="007C632F" w:rsidRPr="00D54336">
        <w:t>.</w:t>
      </w:r>
    </w:p>
    <w:p w14:paraId="3DE9A3CF" w14:textId="77777777" w:rsidR="0081385F" w:rsidRPr="00EC102F" w:rsidRDefault="006219DA" w:rsidP="0086459C">
      <w:pPr>
        <w:pStyle w:val="ListParagraph"/>
        <w:numPr>
          <w:ilvl w:val="0"/>
          <w:numId w:val="3"/>
        </w:numPr>
        <w:rPr>
          <w:b/>
          <w:bCs/>
          <w:color w:val="000000" w:themeColor="text1"/>
        </w:rPr>
      </w:pPr>
      <w:r w:rsidRPr="00EC102F">
        <w:t xml:space="preserve">Further development of the </w:t>
      </w:r>
      <w:r w:rsidR="000345A2" w:rsidRPr="00EC102F">
        <w:t xml:space="preserve">performance engagement to </w:t>
      </w:r>
      <w:r w:rsidR="00155C84" w:rsidRPr="00EC102F">
        <w:t>increase usage and uptake</w:t>
      </w:r>
      <w:r w:rsidR="009643BC" w:rsidRPr="00EC102F">
        <w:t xml:space="preserve">, providing staff and </w:t>
      </w:r>
      <w:r w:rsidR="000345A2" w:rsidRPr="00EC102F">
        <w:t xml:space="preserve">managers </w:t>
      </w:r>
      <w:r w:rsidR="009643BC" w:rsidRPr="00EC102F">
        <w:t xml:space="preserve">with an improved understanding of individual and team performance. </w:t>
      </w:r>
    </w:p>
    <w:p w14:paraId="7397B853" w14:textId="006430CF" w:rsidR="00794DD3" w:rsidRDefault="006219DA" w:rsidP="008E7297">
      <w:pPr>
        <w:rPr>
          <w:b/>
          <w:bCs/>
          <w:sz w:val="40"/>
          <w:szCs w:val="32"/>
          <w:lang w:eastAsia="en-GB"/>
        </w:rPr>
      </w:pPr>
      <w:r w:rsidRPr="00794DD3">
        <w:rPr>
          <w:b/>
          <w:bCs/>
          <w:sz w:val="40"/>
          <w:szCs w:val="32"/>
          <w:lang w:eastAsia="en-GB"/>
        </w:rPr>
        <w:t>Protecting our environment</w:t>
      </w:r>
    </w:p>
    <w:p w14:paraId="153AC001" w14:textId="77777777" w:rsidR="001400A4" w:rsidRPr="005E1B76" w:rsidRDefault="001400A4" w:rsidP="001400A4">
      <w:pPr>
        <w:pStyle w:val="NoSpacing"/>
        <w:rPr>
          <w:rFonts w:ascii="Arial" w:hAnsi="Arial" w:cs="Arial"/>
          <w:color w:val="FF0000"/>
        </w:rPr>
      </w:pPr>
    </w:p>
    <w:tbl>
      <w:tblPr>
        <w:tblW w:w="13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395"/>
        <w:gridCol w:w="1485"/>
        <w:gridCol w:w="780"/>
        <w:gridCol w:w="1068"/>
        <w:gridCol w:w="1545"/>
        <w:gridCol w:w="2103"/>
        <w:gridCol w:w="1985"/>
        <w:gridCol w:w="1695"/>
      </w:tblGrid>
      <w:tr w:rsidR="00176ACB" w14:paraId="7E2F7212" w14:textId="77777777" w:rsidTr="4E6013FB">
        <w:trPr>
          <w:trHeight w:val="474"/>
        </w:trPr>
        <w:tc>
          <w:tcPr>
            <w:tcW w:w="1830" w:type="dxa"/>
            <w:tcBorders>
              <w:top w:val="single" w:sz="4" w:space="0" w:color="auto"/>
              <w:left w:val="single" w:sz="4" w:space="0" w:color="auto"/>
              <w:bottom w:val="single" w:sz="4" w:space="0" w:color="auto"/>
              <w:right w:val="single" w:sz="4" w:space="0" w:color="auto"/>
            </w:tcBorders>
          </w:tcPr>
          <w:p w14:paraId="09E4B5CA" w14:textId="77777777" w:rsidR="001400A4" w:rsidRPr="005269D0" w:rsidRDefault="006219DA" w:rsidP="00AB6544">
            <w:pPr>
              <w:pStyle w:val="NoSpacing"/>
              <w:rPr>
                <w:rFonts w:ascii="Arial" w:hAnsi="Arial" w:cs="Arial"/>
                <w:b/>
              </w:rPr>
            </w:pPr>
            <w:r w:rsidRPr="0047796E">
              <w:rPr>
                <w:rFonts w:ascii="Arial" w:hAnsi="Arial" w:cs="Arial"/>
                <w:b/>
                <w:sz w:val="20"/>
                <w:szCs w:val="20"/>
              </w:rPr>
              <w:t>Performance Indicator</w:t>
            </w:r>
          </w:p>
        </w:tc>
        <w:tc>
          <w:tcPr>
            <w:tcW w:w="1395" w:type="dxa"/>
            <w:tcBorders>
              <w:top w:val="single" w:sz="4" w:space="0" w:color="auto"/>
              <w:left w:val="single" w:sz="4" w:space="0" w:color="auto"/>
              <w:bottom w:val="single" w:sz="4" w:space="0" w:color="auto"/>
              <w:right w:val="single" w:sz="4" w:space="0" w:color="auto"/>
            </w:tcBorders>
          </w:tcPr>
          <w:p w14:paraId="261ECE8A" w14:textId="77777777" w:rsidR="001400A4" w:rsidRPr="005269D0" w:rsidRDefault="006219DA" w:rsidP="00AB6544">
            <w:pPr>
              <w:pStyle w:val="NoSpacing"/>
              <w:rPr>
                <w:rFonts w:ascii="Arial" w:hAnsi="Arial" w:cs="Arial"/>
                <w:b/>
              </w:rPr>
            </w:pPr>
            <w:r w:rsidRPr="0047796E">
              <w:rPr>
                <w:rFonts w:ascii="Arial" w:hAnsi="Arial" w:cs="Arial"/>
                <w:b/>
                <w:sz w:val="20"/>
                <w:szCs w:val="20"/>
              </w:rPr>
              <w:t>Frequency</w:t>
            </w:r>
          </w:p>
        </w:tc>
        <w:tc>
          <w:tcPr>
            <w:tcW w:w="1485" w:type="dxa"/>
            <w:tcBorders>
              <w:top w:val="single" w:sz="4" w:space="0" w:color="auto"/>
              <w:left w:val="single" w:sz="4" w:space="0" w:color="auto"/>
              <w:bottom w:val="single" w:sz="4" w:space="0" w:color="auto"/>
              <w:right w:val="single" w:sz="4" w:space="0" w:color="auto"/>
            </w:tcBorders>
          </w:tcPr>
          <w:p w14:paraId="06E65AE7" w14:textId="77777777" w:rsidR="001400A4" w:rsidRPr="005269D0" w:rsidRDefault="006219DA" w:rsidP="00AB6544">
            <w:pPr>
              <w:pStyle w:val="NoSpacing"/>
              <w:rPr>
                <w:rFonts w:ascii="Arial" w:hAnsi="Arial" w:cs="Arial"/>
                <w:b/>
              </w:rPr>
            </w:pPr>
            <w:r w:rsidRPr="0047796E">
              <w:rPr>
                <w:rFonts w:ascii="Arial" w:hAnsi="Arial" w:cs="Arial"/>
                <w:b/>
                <w:sz w:val="20"/>
                <w:szCs w:val="20"/>
              </w:rPr>
              <w:t xml:space="preserve">Directorate </w:t>
            </w:r>
          </w:p>
        </w:tc>
        <w:tc>
          <w:tcPr>
            <w:tcW w:w="780" w:type="dxa"/>
            <w:tcBorders>
              <w:top w:val="single" w:sz="4" w:space="0" w:color="auto"/>
              <w:left w:val="single" w:sz="4" w:space="0" w:color="auto"/>
              <w:bottom w:val="single" w:sz="4" w:space="0" w:color="auto"/>
              <w:right w:val="single" w:sz="4" w:space="0" w:color="auto"/>
            </w:tcBorders>
          </w:tcPr>
          <w:p w14:paraId="4E3A106E" w14:textId="77777777" w:rsidR="001400A4" w:rsidRPr="005269D0" w:rsidRDefault="006219DA" w:rsidP="00AB6544">
            <w:pPr>
              <w:pStyle w:val="NoSpacing"/>
              <w:rPr>
                <w:rFonts w:ascii="Arial" w:hAnsi="Arial" w:cs="Arial"/>
                <w:b/>
              </w:rPr>
            </w:pPr>
            <w:r w:rsidRPr="0047796E">
              <w:rPr>
                <w:rFonts w:ascii="Arial" w:hAnsi="Arial" w:cs="Arial"/>
                <w:b/>
                <w:sz w:val="20"/>
                <w:szCs w:val="20"/>
              </w:rPr>
              <w:t>Good is</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249534DD" w14:textId="77777777" w:rsidR="001400A4" w:rsidRPr="005269D0" w:rsidRDefault="006219DA" w:rsidP="00AB6544">
            <w:pPr>
              <w:pStyle w:val="NoSpacing"/>
              <w:rPr>
                <w:rFonts w:ascii="Arial" w:hAnsi="Arial" w:cs="Arial"/>
                <w:b/>
              </w:rPr>
            </w:pPr>
            <w:r w:rsidRPr="00300F36">
              <w:rPr>
                <w:rFonts w:ascii="Arial" w:hAnsi="Arial" w:cs="Arial"/>
                <w:b/>
                <w:sz w:val="20"/>
                <w:szCs w:val="20"/>
              </w:rPr>
              <w:t>2019/20 Outturn</w:t>
            </w:r>
          </w:p>
        </w:tc>
        <w:tc>
          <w:tcPr>
            <w:tcW w:w="1545" w:type="dxa"/>
            <w:tcBorders>
              <w:top w:val="single" w:sz="4" w:space="0" w:color="auto"/>
              <w:left w:val="single" w:sz="4" w:space="0" w:color="auto"/>
              <w:bottom w:val="single" w:sz="4" w:space="0" w:color="auto"/>
              <w:right w:val="single" w:sz="4" w:space="0" w:color="auto"/>
            </w:tcBorders>
          </w:tcPr>
          <w:p w14:paraId="0B19C127" w14:textId="77777777" w:rsidR="001400A4" w:rsidRPr="005269D0" w:rsidRDefault="006219DA" w:rsidP="00AB6544">
            <w:pPr>
              <w:pStyle w:val="NoSpacing"/>
              <w:rPr>
                <w:rFonts w:ascii="Arial" w:hAnsi="Arial" w:cs="Arial"/>
                <w:b/>
                <w:bCs/>
                <w:sz w:val="20"/>
                <w:szCs w:val="20"/>
              </w:rPr>
            </w:pPr>
            <w:r w:rsidRPr="62385CB5">
              <w:rPr>
                <w:rFonts w:ascii="Arial" w:hAnsi="Arial" w:cs="Arial"/>
                <w:b/>
                <w:bCs/>
                <w:sz w:val="20"/>
                <w:szCs w:val="20"/>
              </w:rPr>
              <w:t>2020/21 Outturn</w:t>
            </w: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7613B7DA" w14:textId="77777777" w:rsidR="001400A4" w:rsidRPr="005269D0" w:rsidRDefault="006219DA" w:rsidP="00AB6544">
            <w:pPr>
              <w:pStyle w:val="NoSpacing"/>
              <w:rPr>
                <w:rFonts w:ascii="Arial" w:hAnsi="Arial" w:cs="Arial"/>
                <w:b/>
                <w:bCs/>
                <w:sz w:val="20"/>
                <w:szCs w:val="20"/>
              </w:rPr>
            </w:pPr>
            <w:r w:rsidRPr="62385CB5">
              <w:rPr>
                <w:rFonts w:ascii="Arial" w:hAnsi="Arial" w:cs="Arial"/>
                <w:b/>
                <w:bCs/>
                <w:sz w:val="20"/>
                <w:szCs w:val="20"/>
              </w:rPr>
              <w:t>2021/22 Quarter 1 (April-June)</w:t>
            </w:r>
          </w:p>
        </w:tc>
        <w:tc>
          <w:tcPr>
            <w:tcW w:w="1985" w:type="dxa"/>
            <w:tcBorders>
              <w:top w:val="single" w:sz="4" w:space="0" w:color="auto"/>
              <w:left w:val="single" w:sz="4" w:space="0" w:color="auto"/>
              <w:bottom w:val="single" w:sz="4" w:space="0" w:color="auto"/>
              <w:right w:val="single" w:sz="4" w:space="0" w:color="auto"/>
            </w:tcBorders>
          </w:tcPr>
          <w:p w14:paraId="6D81195C" w14:textId="77777777" w:rsidR="001400A4" w:rsidRDefault="006219DA" w:rsidP="00AB6544">
            <w:pPr>
              <w:pStyle w:val="NoSpacing"/>
              <w:rPr>
                <w:rFonts w:ascii="Arial" w:hAnsi="Arial" w:cs="Arial"/>
                <w:b/>
                <w:bCs/>
                <w:sz w:val="20"/>
                <w:szCs w:val="20"/>
              </w:rPr>
            </w:pPr>
            <w:r>
              <w:rPr>
                <w:rFonts w:ascii="Arial" w:hAnsi="Arial" w:cs="Arial"/>
                <w:b/>
                <w:bCs/>
                <w:sz w:val="20"/>
                <w:szCs w:val="20"/>
              </w:rPr>
              <w:t xml:space="preserve">2021/22 Quarter 2 </w:t>
            </w:r>
          </w:p>
          <w:p w14:paraId="0CB6BF4F" w14:textId="77777777" w:rsidR="001400A4" w:rsidRPr="62385CB5" w:rsidRDefault="006219DA" w:rsidP="00AB6544">
            <w:pPr>
              <w:pStyle w:val="NoSpacing"/>
              <w:rPr>
                <w:rFonts w:ascii="Arial" w:hAnsi="Arial" w:cs="Arial"/>
                <w:b/>
                <w:bCs/>
                <w:sz w:val="20"/>
                <w:szCs w:val="20"/>
              </w:rPr>
            </w:pPr>
            <w:r w:rsidRPr="00254A8C">
              <w:rPr>
                <w:rFonts w:ascii="Arial" w:hAnsi="Arial" w:cs="Arial"/>
                <w:b/>
                <w:bCs/>
                <w:sz w:val="18"/>
                <w:szCs w:val="18"/>
              </w:rPr>
              <w:t>(July – Sep)</w:t>
            </w:r>
          </w:p>
        </w:tc>
        <w:tc>
          <w:tcPr>
            <w:tcW w:w="1695" w:type="dxa"/>
            <w:tcBorders>
              <w:top w:val="single" w:sz="4" w:space="0" w:color="auto"/>
              <w:left w:val="single" w:sz="4" w:space="0" w:color="auto"/>
              <w:bottom w:val="single" w:sz="4" w:space="0" w:color="auto"/>
              <w:right w:val="single" w:sz="4" w:space="0" w:color="auto"/>
            </w:tcBorders>
          </w:tcPr>
          <w:p w14:paraId="59D5E7EE" w14:textId="77777777" w:rsidR="001400A4" w:rsidRPr="005269D0" w:rsidRDefault="006219DA" w:rsidP="00AB6544">
            <w:pPr>
              <w:pStyle w:val="NoSpacing"/>
              <w:jc w:val="center"/>
              <w:rPr>
                <w:rFonts w:ascii="Arial" w:hAnsi="Arial" w:cs="Arial"/>
                <w:b/>
                <w:bCs/>
              </w:rPr>
            </w:pPr>
            <w:r w:rsidRPr="62385CB5">
              <w:rPr>
                <w:rFonts w:ascii="Arial" w:hAnsi="Arial" w:cs="Arial"/>
                <w:b/>
                <w:bCs/>
                <w:sz w:val="20"/>
                <w:szCs w:val="20"/>
              </w:rPr>
              <w:t>2021/22 Target</w:t>
            </w:r>
          </w:p>
        </w:tc>
      </w:tr>
      <w:tr w:rsidR="00176ACB" w14:paraId="5895EEBF" w14:textId="77777777" w:rsidTr="4E6013FB">
        <w:trPr>
          <w:trHeight w:val="296"/>
        </w:trPr>
        <w:tc>
          <w:tcPr>
            <w:tcW w:w="1830" w:type="dxa"/>
            <w:tcBorders>
              <w:top w:val="single" w:sz="4" w:space="0" w:color="auto"/>
              <w:left w:val="single" w:sz="4" w:space="0" w:color="auto"/>
              <w:bottom w:val="single" w:sz="4" w:space="0" w:color="auto"/>
              <w:right w:val="single" w:sz="4" w:space="0" w:color="auto"/>
            </w:tcBorders>
            <w:hideMark/>
          </w:tcPr>
          <w:p w14:paraId="7D3809DB" w14:textId="77777777" w:rsidR="001400A4" w:rsidRPr="005269D0" w:rsidRDefault="006219DA" w:rsidP="00AB6544">
            <w:pPr>
              <w:pStyle w:val="NoSpacing"/>
              <w:jc w:val="both"/>
              <w:rPr>
                <w:rFonts w:ascii="Arial" w:hAnsi="Arial" w:cs="Arial"/>
              </w:rPr>
            </w:pPr>
            <w:bookmarkStart w:id="0" w:name="_Hlk73689391"/>
            <w:r w:rsidRPr="005269D0">
              <w:rPr>
                <w:rFonts w:ascii="Arial" w:hAnsi="Arial" w:cs="Arial"/>
              </w:rPr>
              <w:t>Percentage of recycling, reuse and composted</w:t>
            </w:r>
            <w:bookmarkEnd w:id="0"/>
          </w:p>
        </w:tc>
        <w:tc>
          <w:tcPr>
            <w:tcW w:w="1395" w:type="dxa"/>
            <w:tcBorders>
              <w:top w:val="single" w:sz="4" w:space="0" w:color="auto"/>
              <w:left w:val="single" w:sz="4" w:space="0" w:color="auto"/>
              <w:bottom w:val="single" w:sz="4" w:space="0" w:color="auto"/>
              <w:right w:val="single" w:sz="4" w:space="0" w:color="auto"/>
            </w:tcBorders>
            <w:hideMark/>
          </w:tcPr>
          <w:p w14:paraId="69DF175C" w14:textId="77777777" w:rsidR="001400A4" w:rsidRPr="005269D0" w:rsidRDefault="001400A4" w:rsidP="00AB6544">
            <w:pPr>
              <w:pStyle w:val="NoSpacing"/>
              <w:rPr>
                <w:rFonts w:ascii="Arial" w:hAnsi="Arial" w:cs="Arial"/>
              </w:rPr>
            </w:pPr>
          </w:p>
          <w:p w14:paraId="2E90078E" w14:textId="77777777" w:rsidR="001400A4" w:rsidRPr="005269D0" w:rsidRDefault="006219DA" w:rsidP="00AB6544">
            <w:pPr>
              <w:pStyle w:val="NoSpacing"/>
              <w:rPr>
                <w:rFonts w:ascii="Arial" w:hAnsi="Arial" w:cs="Arial"/>
                <w:i/>
              </w:rPr>
            </w:pPr>
            <w:r w:rsidRPr="005269D0">
              <w:rPr>
                <w:rFonts w:ascii="Arial" w:hAnsi="Arial" w:cs="Arial"/>
              </w:rPr>
              <w:t>Quarterly</w:t>
            </w:r>
          </w:p>
        </w:tc>
        <w:tc>
          <w:tcPr>
            <w:tcW w:w="1485" w:type="dxa"/>
            <w:tcBorders>
              <w:top w:val="single" w:sz="4" w:space="0" w:color="auto"/>
              <w:left w:val="single" w:sz="4" w:space="0" w:color="auto"/>
              <w:bottom w:val="single" w:sz="4" w:space="0" w:color="auto"/>
              <w:right w:val="single" w:sz="4" w:space="0" w:color="auto"/>
            </w:tcBorders>
          </w:tcPr>
          <w:p w14:paraId="667E91F9" w14:textId="77777777" w:rsidR="001400A4" w:rsidRPr="005269D0" w:rsidRDefault="006219DA" w:rsidP="00AB6544">
            <w:pPr>
              <w:pStyle w:val="NoSpacing"/>
              <w:rPr>
                <w:rFonts w:ascii="Arial" w:hAnsi="Arial" w:cs="Arial"/>
              </w:rPr>
            </w:pPr>
            <w:r w:rsidRPr="005269D0">
              <w:rPr>
                <w:rFonts w:ascii="Arial" w:hAnsi="Arial" w:cs="Arial"/>
              </w:rPr>
              <w:t>Growth, Environment &amp; Transport</w:t>
            </w:r>
          </w:p>
        </w:tc>
        <w:tc>
          <w:tcPr>
            <w:tcW w:w="780" w:type="dxa"/>
            <w:tcBorders>
              <w:top w:val="single" w:sz="4" w:space="0" w:color="auto"/>
              <w:left w:val="single" w:sz="4" w:space="0" w:color="auto"/>
              <w:bottom w:val="single" w:sz="4" w:space="0" w:color="auto"/>
              <w:right w:val="single" w:sz="4" w:space="0" w:color="auto"/>
            </w:tcBorders>
          </w:tcPr>
          <w:p w14:paraId="20B2F0EC" w14:textId="77777777" w:rsidR="001400A4" w:rsidRPr="005269D0" w:rsidRDefault="001400A4" w:rsidP="00AB6544">
            <w:pPr>
              <w:pStyle w:val="NoSpacing"/>
              <w:rPr>
                <w:rFonts w:ascii="Arial" w:hAnsi="Arial" w:cs="Arial"/>
              </w:rPr>
            </w:pPr>
          </w:p>
          <w:p w14:paraId="0BD1640E" w14:textId="77777777" w:rsidR="001400A4" w:rsidRPr="005269D0" w:rsidRDefault="006219DA" w:rsidP="00AB6544">
            <w:pPr>
              <w:pStyle w:val="NoSpacing"/>
              <w:rPr>
                <w:rFonts w:ascii="Arial" w:hAnsi="Arial" w:cs="Arial"/>
              </w:rPr>
            </w:pPr>
            <w:r w:rsidRPr="005269D0">
              <w:rPr>
                <w:rFonts w:ascii="Arial" w:hAnsi="Arial" w:cs="Arial"/>
              </w:rPr>
              <w:t>High</w:t>
            </w:r>
          </w:p>
        </w:tc>
        <w:tc>
          <w:tcPr>
            <w:tcW w:w="106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AF82A26" w14:textId="77777777" w:rsidR="001400A4" w:rsidRPr="005269D0" w:rsidRDefault="006219DA" w:rsidP="00AB6544">
            <w:pPr>
              <w:pStyle w:val="NoSpacing"/>
              <w:jc w:val="center"/>
              <w:rPr>
                <w:rFonts w:ascii="Arial" w:hAnsi="Arial" w:cs="Arial"/>
              </w:rPr>
            </w:pPr>
            <w:r w:rsidRPr="62385CB5">
              <w:rPr>
                <w:rFonts w:ascii="Arial" w:hAnsi="Arial" w:cs="Arial"/>
              </w:rPr>
              <w:t>45%</w:t>
            </w:r>
          </w:p>
        </w:tc>
        <w:tc>
          <w:tcPr>
            <w:tcW w:w="154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D75F56F" w14:textId="77777777" w:rsidR="001400A4" w:rsidRPr="005269D0" w:rsidRDefault="006219DA" w:rsidP="00AB6544">
            <w:pPr>
              <w:pStyle w:val="NoSpacing"/>
              <w:jc w:val="center"/>
              <w:rPr>
                <w:rFonts w:ascii="Arial" w:hAnsi="Arial" w:cs="Arial"/>
              </w:rPr>
            </w:pPr>
            <w:r w:rsidRPr="62385CB5">
              <w:rPr>
                <w:rFonts w:ascii="Arial" w:hAnsi="Arial" w:cs="Arial"/>
              </w:rPr>
              <w:t>44.4%</w:t>
            </w:r>
          </w:p>
        </w:tc>
        <w:tc>
          <w:tcPr>
            <w:tcW w:w="210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1556017" w14:textId="4B1DC45F" w:rsidR="001400A4" w:rsidRPr="005269D0" w:rsidRDefault="006219DA" w:rsidP="00AB6544">
            <w:pPr>
              <w:pStyle w:val="NoSpacing"/>
              <w:jc w:val="center"/>
              <w:rPr>
                <w:rFonts w:ascii="Arial" w:hAnsi="Arial" w:cs="Arial"/>
              </w:rPr>
            </w:pPr>
            <w:r w:rsidRPr="4E6013FB">
              <w:rPr>
                <w:rFonts w:ascii="Arial" w:hAnsi="Arial" w:cs="Arial"/>
              </w:rPr>
              <w:t>45%</w:t>
            </w:r>
          </w:p>
        </w:tc>
        <w:tc>
          <w:tcPr>
            <w:tcW w:w="198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0DB0C8" w14:textId="49171C07" w:rsidR="4E6013FB" w:rsidRDefault="4E6013FB" w:rsidP="4E6013FB">
            <w:pPr>
              <w:pStyle w:val="NoSpacing"/>
              <w:jc w:val="center"/>
              <w:rPr>
                <w:rFonts w:ascii="Arial" w:hAnsi="Arial" w:cs="Arial"/>
              </w:rPr>
            </w:pPr>
          </w:p>
          <w:p w14:paraId="5354381B" w14:textId="268244C0" w:rsidR="001400A4" w:rsidRPr="005269D0" w:rsidRDefault="006219DA" w:rsidP="4E6013FB">
            <w:pPr>
              <w:pStyle w:val="NoSpacing"/>
              <w:jc w:val="center"/>
              <w:rPr>
                <w:rFonts w:ascii="Arial" w:hAnsi="Arial" w:cs="Arial"/>
              </w:rPr>
            </w:pPr>
            <w:r w:rsidRPr="4E6013FB">
              <w:rPr>
                <w:rFonts w:ascii="Arial" w:hAnsi="Arial" w:cs="Arial"/>
              </w:rPr>
              <w:t>43%</w:t>
            </w:r>
            <w:r w:rsidR="060637D9" w:rsidRPr="4E6013FB">
              <w:rPr>
                <w:rFonts w:ascii="Arial" w:hAnsi="Arial" w:cs="Arial"/>
              </w:rPr>
              <w:t>*</w:t>
            </w:r>
          </w:p>
        </w:tc>
        <w:tc>
          <w:tcPr>
            <w:tcW w:w="1695" w:type="dxa"/>
            <w:tcBorders>
              <w:top w:val="single" w:sz="4" w:space="0" w:color="auto"/>
              <w:left w:val="single" w:sz="4" w:space="0" w:color="auto"/>
              <w:bottom w:val="single" w:sz="4" w:space="0" w:color="auto"/>
              <w:right w:val="single" w:sz="4" w:space="0" w:color="auto"/>
            </w:tcBorders>
          </w:tcPr>
          <w:p w14:paraId="60F95745" w14:textId="77777777" w:rsidR="001400A4" w:rsidRPr="005269D0" w:rsidRDefault="006219DA" w:rsidP="00AB6544">
            <w:pPr>
              <w:pStyle w:val="NoSpacing"/>
              <w:jc w:val="center"/>
              <w:rPr>
                <w:rFonts w:ascii="Arial" w:hAnsi="Arial" w:cs="Arial"/>
              </w:rPr>
            </w:pPr>
            <w:r w:rsidRPr="005269D0">
              <w:rPr>
                <w:rFonts w:ascii="Arial" w:hAnsi="Arial" w:cs="Arial"/>
              </w:rPr>
              <w:t>50% (current national target)</w:t>
            </w:r>
          </w:p>
        </w:tc>
      </w:tr>
    </w:tbl>
    <w:p w14:paraId="0AF4F8D2" w14:textId="77777777" w:rsidR="001400A4" w:rsidRDefault="006219DA" w:rsidP="001400A4">
      <w:pPr>
        <w:pStyle w:val="NoSpacing"/>
        <w:jc w:val="both"/>
        <w:rPr>
          <w:i/>
          <w:iCs/>
          <w:sz w:val="18"/>
          <w:szCs w:val="18"/>
        </w:rPr>
      </w:pPr>
      <w:r w:rsidRPr="62385CB5">
        <w:rPr>
          <w:rFonts w:ascii="Arial" w:eastAsia="Arial" w:hAnsi="Arial" w:cs="Arial"/>
          <w:i/>
          <w:iCs/>
          <w:sz w:val="18"/>
          <w:szCs w:val="18"/>
        </w:rPr>
        <w:t>*The recycling % reported each quarter is based on forecast for full year</w:t>
      </w:r>
    </w:p>
    <w:p w14:paraId="72FA4530" w14:textId="77777777" w:rsidR="001400A4" w:rsidRDefault="001400A4" w:rsidP="001400A4">
      <w:pPr>
        <w:pStyle w:val="NoSpacing"/>
        <w:jc w:val="both"/>
        <w:rPr>
          <w:i/>
          <w:iCs/>
          <w:sz w:val="18"/>
          <w:szCs w:val="18"/>
        </w:rPr>
      </w:pPr>
    </w:p>
    <w:p w14:paraId="18CD7C95" w14:textId="1C32F63E" w:rsidR="001400A4" w:rsidRPr="00795B0F" w:rsidRDefault="006219DA" w:rsidP="4E6013FB">
      <w:pPr>
        <w:rPr>
          <w:rFonts w:eastAsia="Arial" w:cs="Arial"/>
        </w:rPr>
      </w:pPr>
      <w:bookmarkStart w:id="1" w:name="_Hlk86055380"/>
      <w:r w:rsidRPr="00795B0F">
        <w:rPr>
          <w:rFonts w:cs="Arial"/>
          <w:b/>
          <w:bCs/>
        </w:rPr>
        <w:t>Recycling</w:t>
      </w:r>
      <w:r w:rsidR="005F7186" w:rsidRPr="00795B0F">
        <w:rPr>
          <w:rFonts w:cs="Arial"/>
          <w:b/>
          <w:bCs/>
        </w:rPr>
        <w:t>.</w:t>
      </w:r>
      <w:r w:rsidRPr="00795B0F">
        <w:rPr>
          <w:rFonts w:cs="Arial"/>
          <w:b/>
          <w:bCs/>
        </w:rPr>
        <w:t xml:space="preserve"> </w:t>
      </w:r>
      <w:r w:rsidR="00B6439A" w:rsidRPr="00795B0F">
        <w:rPr>
          <w:rFonts w:eastAsia="Arial" w:cs="Arial"/>
        </w:rPr>
        <w:t xml:space="preserve">The </w:t>
      </w:r>
      <w:r w:rsidR="0C6CCE3D" w:rsidRPr="00795B0F">
        <w:rPr>
          <w:rFonts w:eastAsia="Arial" w:cs="Arial"/>
        </w:rPr>
        <w:t xml:space="preserve">forecast for this year has dropped by </w:t>
      </w:r>
      <w:r w:rsidR="00B6439A" w:rsidRPr="00795B0F">
        <w:rPr>
          <w:rFonts w:eastAsia="Arial" w:cs="Arial"/>
        </w:rPr>
        <w:t xml:space="preserve">two </w:t>
      </w:r>
      <w:r w:rsidR="0C6CCE3D" w:rsidRPr="00795B0F">
        <w:rPr>
          <w:rFonts w:eastAsia="Arial" w:cs="Arial"/>
        </w:rPr>
        <w:t>percent</w:t>
      </w:r>
      <w:r w:rsidR="00696449" w:rsidRPr="00795B0F">
        <w:rPr>
          <w:rFonts w:eastAsia="Arial" w:cs="Arial"/>
        </w:rPr>
        <w:t>age points</w:t>
      </w:r>
      <w:r w:rsidR="0C6CCE3D" w:rsidRPr="00795B0F">
        <w:rPr>
          <w:rFonts w:eastAsia="Arial" w:cs="Arial"/>
        </w:rPr>
        <w:t xml:space="preserve"> and is mainly due to continued high volumes of doorstep collected residual waste</w:t>
      </w:r>
      <w:r w:rsidR="00D510A4" w:rsidRPr="00795B0F">
        <w:rPr>
          <w:rFonts w:eastAsia="Arial" w:cs="Arial"/>
        </w:rPr>
        <w:t>.</w:t>
      </w:r>
      <w:r w:rsidR="00716A65">
        <w:rPr>
          <w:rFonts w:eastAsia="Arial" w:cs="Arial"/>
        </w:rPr>
        <w:t xml:space="preserve"> </w:t>
      </w:r>
      <w:r w:rsidR="00D510A4" w:rsidRPr="00795B0F">
        <w:rPr>
          <w:rFonts w:eastAsia="Arial" w:cs="Arial"/>
        </w:rPr>
        <w:t>T</w:t>
      </w:r>
      <w:r w:rsidR="0C6CCE3D" w:rsidRPr="00795B0F">
        <w:rPr>
          <w:rFonts w:eastAsia="Arial" w:cs="Arial"/>
        </w:rPr>
        <w:t>h</w:t>
      </w:r>
      <w:r w:rsidR="00696449" w:rsidRPr="00795B0F">
        <w:rPr>
          <w:rFonts w:eastAsia="Arial" w:cs="Arial"/>
        </w:rPr>
        <w:t xml:space="preserve">e out-turn </w:t>
      </w:r>
      <w:r w:rsidR="0C6CCE3D" w:rsidRPr="00795B0F">
        <w:rPr>
          <w:rFonts w:eastAsia="Arial" w:cs="Arial"/>
        </w:rPr>
        <w:t xml:space="preserve">tonnage level </w:t>
      </w:r>
      <w:r w:rsidR="00D510A4" w:rsidRPr="00795B0F">
        <w:rPr>
          <w:rFonts w:eastAsia="Arial" w:cs="Arial"/>
        </w:rPr>
        <w:t xml:space="preserve">is expected </w:t>
      </w:r>
      <w:r w:rsidR="0C6CCE3D" w:rsidRPr="00795B0F">
        <w:rPr>
          <w:rFonts w:eastAsia="Arial" w:cs="Arial"/>
        </w:rPr>
        <w:t xml:space="preserve">to </w:t>
      </w:r>
      <w:r w:rsidR="00696449" w:rsidRPr="00795B0F">
        <w:rPr>
          <w:rFonts w:eastAsia="Arial" w:cs="Arial"/>
        </w:rPr>
        <w:t>be</w:t>
      </w:r>
      <w:r w:rsidR="0C6CCE3D" w:rsidRPr="00795B0F">
        <w:rPr>
          <w:rFonts w:eastAsia="Arial" w:cs="Arial"/>
        </w:rPr>
        <w:t xml:space="preserve"> similar to 20</w:t>
      </w:r>
      <w:r w:rsidR="005F7186" w:rsidRPr="00795B0F">
        <w:rPr>
          <w:rFonts w:eastAsia="Arial" w:cs="Arial"/>
        </w:rPr>
        <w:t>20</w:t>
      </w:r>
      <w:r w:rsidR="0C6CCE3D" w:rsidRPr="00795B0F">
        <w:rPr>
          <w:rFonts w:eastAsia="Arial" w:cs="Arial"/>
        </w:rPr>
        <w:t>/21 around 418,000</w:t>
      </w:r>
      <w:r w:rsidR="005F7186" w:rsidRPr="00795B0F">
        <w:rPr>
          <w:rFonts w:eastAsia="Arial" w:cs="Arial"/>
        </w:rPr>
        <w:t xml:space="preserve"> tonnes</w:t>
      </w:r>
      <w:r w:rsidR="0C6CCE3D" w:rsidRPr="00795B0F">
        <w:rPr>
          <w:rFonts w:eastAsia="Arial" w:cs="Arial"/>
        </w:rPr>
        <w:t xml:space="preserve"> (Q1 </w:t>
      </w:r>
      <w:r w:rsidR="00394DBF" w:rsidRPr="00795B0F">
        <w:rPr>
          <w:rFonts w:eastAsia="Arial" w:cs="Arial"/>
        </w:rPr>
        <w:t xml:space="preserve">out-turn estimate </w:t>
      </w:r>
      <w:r w:rsidR="0C6CCE3D" w:rsidRPr="00795B0F">
        <w:rPr>
          <w:rFonts w:eastAsia="Arial" w:cs="Arial"/>
        </w:rPr>
        <w:t xml:space="preserve">407,000t). Current levels of kerbside collected recyclables are slightly lower than the tonnes reported in Q1, </w:t>
      </w:r>
      <w:r w:rsidR="00106465" w:rsidRPr="00795B0F">
        <w:rPr>
          <w:rFonts w:eastAsia="Arial" w:cs="Arial"/>
        </w:rPr>
        <w:t>with</w:t>
      </w:r>
      <w:r w:rsidR="0C6CCE3D" w:rsidRPr="00795B0F">
        <w:rPr>
          <w:rFonts w:eastAsia="Arial" w:cs="Arial"/>
        </w:rPr>
        <w:t xml:space="preserve"> increased recyclables at recycling centres which could be a contributing factor of this reduction at kerbside. Although not at similar levels to two years ago, pre-pandemic (</w:t>
      </w:r>
      <w:r w:rsidR="00E26E49" w:rsidRPr="00795B0F">
        <w:rPr>
          <w:rFonts w:eastAsia="Arial" w:cs="Arial"/>
        </w:rPr>
        <w:t>20</w:t>
      </w:r>
      <w:r w:rsidR="0C6CCE3D" w:rsidRPr="00795B0F">
        <w:rPr>
          <w:rFonts w:eastAsia="Arial" w:cs="Arial"/>
        </w:rPr>
        <w:t>19/20)</w:t>
      </w:r>
      <w:r w:rsidR="00716A65">
        <w:rPr>
          <w:rFonts w:eastAsia="Arial" w:cs="Arial"/>
        </w:rPr>
        <w:t>,</w:t>
      </w:r>
      <w:r w:rsidR="0C6CCE3D" w:rsidRPr="00795B0F">
        <w:rPr>
          <w:rFonts w:eastAsia="Arial" w:cs="Arial"/>
        </w:rPr>
        <w:t xml:space="preserve"> recycling centres are seeing signs of returning to normal levels, over the last few months throughput is back up at 80%</w:t>
      </w:r>
      <w:r w:rsidR="00696449" w:rsidRPr="00795B0F">
        <w:rPr>
          <w:rFonts w:eastAsia="Arial" w:cs="Arial"/>
        </w:rPr>
        <w:t>.</w:t>
      </w:r>
    </w:p>
    <w:p w14:paraId="0AB2A7EF" w14:textId="54DD4768" w:rsidR="00090583" w:rsidRPr="00795B0F" w:rsidRDefault="006219DA" w:rsidP="4E6013FB">
      <w:pPr>
        <w:rPr>
          <w:rFonts w:eastAsia="Arial" w:cs="Arial"/>
        </w:rPr>
      </w:pPr>
      <w:r w:rsidRPr="00795B0F">
        <w:rPr>
          <w:rFonts w:eastAsia="Arial" w:cs="Arial"/>
        </w:rPr>
        <w:t xml:space="preserve">In terms of the processing of residual waste at Thornton and Leyland Waste Treatment Facilities, the plants continue to operate at full capacity, with anticipated output tonnes consistent with last year. Towards the end of last year, early this, Thornton Waste Treatment Facility made changes to their operations to allow them to manage these continued high volumes of kerbside residual waste. Over the last few months, equipment (known as star screen) has been introduced </w:t>
      </w:r>
      <w:r w:rsidR="00FB770C" w:rsidRPr="00795B0F">
        <w:rPr>
          <w:rFonts w:eastAsia="Arial" w:cs="Arial"/>
        </w:rPr>
        <w:t xml:space="preserve">at Thornton </w:t>
      </w:r>
      <w:r w:rsidRPr="00795B0F">
        <w:rPr>
          <w:rFonts w:eastAsia="Arial" w:cs="Arial"/>
        </w:rPr>
        <w:t>and is now operational hence more Compost Like Output (CLO) being recovered now rather tha</w:t>
      </w:r>
      <w:r w:rsidR="00E26E49" w:rsidRPr="00795B0F">
        <w:rPr>
          <w:rFonts w:eastAsia="Arial" w:cs="Arial"/>
        </w:rPr>
        <w:t>n</w:t>
      </w:r>
      <w:r w:rsidRPr="00795B0F">
        <w:rPr>
          <w:rFonts w:eastAsia="Arial" w:cs="Arial"/>
        </w:rPr>
        <w:t xml:space="preserve"> Refuse Derived Fuel (RDF) resulting in much improved mass loss performance.</w:t>
      </w:r>
    </w:p>
    <w:p w14:paraId="7A637A96" w14:textId="77777777" w:rsidR="003132D6" w:rsidRPr="00696449" w:rsidRDefault="003132D6" w:rsidP="4E6013FB">
      <w:pPr>
        <w:rPr>
          <w:rFonts w:eastAsia="Arial" w:cs="Arial"/>
          <w:sz w:val="22"/>
          <w:szCs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618"/>
        <w:gridCol w:w="3941"/>
        <w:gridCol w:w="5988"/>
      </w:tblGrid>
      <w:tr w:rsidR="00176ACB" w14:paraId="4EE8A74D" w14:textId="77777777" w:rsidTr="00170D99">
        <w:trPr>
          <w:trHeight w:val="693"/>
        </w:trPr>
        <w:tc>
          <w:tcPr>
            <w:tcW w:w="2487" w:type="dxa"/>
            <w:tcBorders>
              <w:top w:val="single" w:sz="4" w:space="0" w:color="auto"/>
              <w:left w:val="single" w:sz="4" w:space="0" w:color="auto"/>
              <w:bottom w:val="single" w:sz="4" w:space="0" w:color="auto"/>
              <w:right w:val="single" w:sz="4" w:space="0" w:color="auto"/>
            </w:tcBorders>
          </w:tcPr>
          <w:bookmarkEnd w:id="1"/>
          <w:p w14:paraId="53CFF21F" w14:textId="77777777" w:rsidR="00794DD3" w:rsidRPr="00A13FE9" w:rsidRDefault="006219DA" w:rsidP="00AB6544">
            <w:pPr>
              <w:pStyle w:val="NoSpacing"/>
              <w:rPr>
                <w:rFonts w:ascii="Arial" w:hAnsi="Arial" w:cs="Arial"/>
                <w:b/>
              </w:rPr>
            </w:pPr>
            <w:r w:rsidRPr="00A13FE9">
              <w:rPr>
                <w:rFonts w:ascii="Arial" w:hAnsi="Arial" w:cs="Arial"/>
                <w:b/>
              </w:rPr>
              <w:lastRenderedPageBreak/>
              <w:t>Performance Indicator</w:t>
            </w:r>
          </w:p>
        </w:tc>
        <w:tc>
          <w:tcPr>
            <w:tcW w:w="1618" w:type="dxa"/>
            <w:tcBorders>
              <w:top w:val="single" w:sz="4" w:space="0" w:color="auto"/>
              <w:left w:val="single" w:sz="4" w:space="0" w:color="auto"/>
              <w:bottom w:val="single" w:sz="4" w:space="0" w:color="auto"/>
              <w:right w:val="single" w:sz="4" w:space="0" w:color="auto"/>
            </w:tcBorders>
          </w:tcPr>
          <w:p w14:paraId="6B88801A" w14:textId="77777777" w:rsidR="00794DD3" w:rsidRPr="00A13FE9" w:rsidRDefault="006219DA" w:rsidP="00AB6544">
            <w:pPr>
              <w:pStyle w:val="NoSpacing"/>
              <w:rPr>
                <w:rFonts w:ascii="Arial" w:hAnsi="Arial" w:cs="Arial"/>
                <w:b/>
              </w:rPr>
            </w:pPr>
            <w:r w:rsidRPr="00A13FE9">
              <w:rPr>
                <w:rFonts w:ascii="Arial" w:hAnsi="Arial" w:cs="Arial"/>
                <w:b/>
              </w:rPr>
              <w:t>Frequency</w:t>
            </w:r>
          </w:p>
        </w:tc>
        <w:tc>
          <w:tcPr>
            <w:tcW w:w="3941" w:type="dxa"/>
            <w:tcBorders>
              <w:top w:val="single" w:sz="4" w:space="0" w:color="auto"/>
              <w:left w:val="single" w:sz="4" w:space="0" w:color="auto"/>
              <w:bottom w:val="single" w:sz="4" w:space="0" w:color="auto"/>
              <w:right w:val="single" w:sz="4" w:space="0" w:color="auto"/>
            </w:tcBorders>
          </w:tcPr>
          <w:p w14:paraId="6EA75469" w14:textId="77777777" w:rsidR="00794DD3" w:rsidRPr="00A13FE9" w:rsidRDefault="006219DA" w:rsidP="00AB6544">
            <w:pPr>
              <w:pStyle w:val="NoSpacing"/>
              <w:rPr>
                <w:rFonts w:ascii="Arial" w:hAnsi="Arial" w:cs="Arial"/>
                <w:b/>
              </w:rPr>
            </w:pPr>
            <w:r w:rsidRPr="00A13FE9">
              <w:rPr>
                <w:rFonts w:ascii="Arial" w:hAnsi="Arial" w:cs="Arial"/>
                <w:b/>
              </w:rPr>
              <w:t xml:space="preserve">Directorate </w:t>
            </w:r>
          </w:p>
        </w:tc>
        <w:tc>
          <w:tcPr>
            <w:tcW w:w="5988" w:type="dxa"/>
            <w:tcBorders>
              <w:top w:val="single" w:sz="4" w:space="0" w:color="auto"/>
              <w:left w:val="single" w:sz="4" w:space="0" w:color="auto"/>
              <w:bottom w:val="single" w:sz="4" w:space="0" w:color="auto"/>
              <w:right w:val="single" w:sz="4" w:space="0" w:color="auto"/>
            </w:tcBorders>
          </w:tcPr>
          <w:p w14:paraId="245E40CC" w14:textId="77777777" w:rsidR="00794DD3" w:rsidRPr="00A13FE9" w:rsidRDefault="006219DA" w:rsidP="00AB6544">
            <w:pPr>
              <w:pStyle w:val="NoSpacing"/>
              <w:spacing w:line="252" w:lineRule="auto"/>
              <w:rPr>
                <w:rFonts w:ascii="Arial" w:eastAsiaTheme="minorHAnsi" w:hAnsi="Arial" w:cs="Arial"/>
                <w:b/>
                <w:bCs/>
              </w:rPr>
            </w:pPr>
            <w:r w:rsidRPr="00A13FE9">
              <w:rPr>
                <w:rFonts w:ascii="Arial" w:hAnsi="Arial" w:cs="Arial"/>
                <w:b/>
                <w:bCs/>
              </w:rPr>
              <w:t>Current Performance</w:t>
            </w:r>
          </w:p>
        </w:tc>
      </w:tr>
      <w:tr w:rsidR="00176ACB" w14:paraId="526F64D8" w14:textId="77777777" w:rsidTr="00170D99">
        <w:trPr>
          <w:trHeight w:val="761"/>
        </w:trPr>
        <w:tc>
          <w:tcPr>
            <w:tcW w:w="2487" w:type="dxa"/>
            <w:tcBorders>
              <w:top w:val="single" w:sz="4" w:space="0" w:color="auto"/>
              <w:left w:val="single" w:sz="4" w:space="0" w:color="auto"/>
              <w:bottom w:val="single" w:sz="4" w:space="0" w:color="auto"/>
              <w:right w:val="single" w:sz="4" w:space="0" w:color="auto"/>
            </w:tcBorders>
            <w:hideMark/>
          </w:tcPr>
          <w:p w14:paraId="4E6722F8" w14:textId="77777777" w:rsidR="00794DD3" w:rsidRPr="00A13FE9" w:rsidRDefault="006219DA" w:rsidP="00AB6544">
            <w:pPr>
              <w:pStyle w:val="NoSpacing"/>
              <w:rPr>
                <w:rFonts w:ascii="Arial" w:hAnsi="Arial" w:cs="Arial"/>
              </w:rPr>
            </w:pPr>
            <w:r w:rsidRPr="00A13FE9">
              <w:rPr>
                <w:rFonts w:ascii="Arial" w:hAnsi="Arial" w:cs="Arial"/>
              </w:rPr>
              <w:t xml:space="preserve">Sustainable transport and travel </w:t>
            </w:r>
          </w:p>
        </w:tc>
        <w:tc>
          <w:tcPr>
            <w:tcW w:w="1618" w:type="dxa"/>
            <w:tcBorders>
              <w:top w:val="single" w:sz="4" w:space="0" w:color="auto"/>
              <w:left w:val="single" w:sz="4" w:space="0" w:color="auto"/>
              <w:bottom w:val="single" w:sz="4" w:space="0" w:color="auto"/>
              <w:right w:val="single" w:sz="4" w:space="0" w:color="auto"/>
            </w:tcBorders>
            <w:hideMark/>
          </w:tcPr>
          <w:p w14:paraId="65B55072" w14:textId="77777777" w:rsidR="00794DD3" w:rsidRPr="00A13FE9" w:rsidRDefault="006219DA" w:rsidP="00AB6544">
            <w:pPr>
              <w:pStyle w:val="NoSpacing"/>
              <w:rPr>
                <w:rFonts w:ascii="Arial" w:hAnsi="Arial" w:cs="Arial"/>
              </w:rPr>
            </w:pPr>
            <w:r w:rsidRPr="00A13FE9">
              <w:rPr>
                <w:rFonts w:ascii="Arial" w:hAnsi="Arial" w:cs="Arial"/>
              </w:rPr>
              <w:t>Annual</w:t>
            </w:r>
          </w:p>
        </w:tc>
        <w:tc>
          <w:tcPr>
            <w:tcW w:w="3941" w:type="dxa"/>
            <w:tcBorders>
              <w:top w:val="single" w:sz="4" w:space="0" w:color="auto"/>
              <w:left w:val="single" w:sz="4" w:space="0" w:color="auto"/>
              <w:bottom w:val="single" w:sz="4" w:space="0" w:color="auto"/>
              <w:right w:val="single" w:sz="4" w:space="0" w:color="auto"/>
            </w:tcBorders>
          </w:tcPr>
          <w:p w14:paraId="77DC02C6" w14:textId="77777777" w:rsidR="00794DD3" w:rsidRPr="00A13FE9" w:rsidRDefault="006219DA" w:rsidP="00AB6544">
            <w:pPr>
              <w:pStyle w:val="NoSpacing"/>
              <w:rPr>
                <w:rFonts w:ascii="Arial" w:hAnsi="Arial" w:cs="Arial"/>
              </w:rPr>
            </w:pPr>
            <w:r w:rsidRPr="00A13FE9">
              <w:rPr>
                <w:rFonts w:ascii="Arial" w:hAnsi="Arial" w:cs="Arial"/>
              </w:rPr>
              <w:t>Growth, Environment &amp; Transport</w:t>
            </w:r>
          </w:p>
        </w:tc>
        <w:tc>
          <w:tcPr>
            <w:tcW w:w="5988" w:type="dxa"/>
            <w:tcBorders>
              <w:top w:val="single" w:sz="4" w:space="0" w:color="auto"/>
              <w:left w:val="single" w:sz="4" w:space="0" w:color="auto"/>
              <w:bottom w:val="single" w:sz="4" w:space="0" w:color="auto"/>
              <w:right w:val="single" w:sz="4" w:space="0" w:color="auto"/>
            </w:tcBorders>
          </w:tcPr>
          <w:p w14:paraId="4E634C35" w14:textId="77777777" w:rsidR="00794DD3" w:rsidRPr="00A13FE9" w:rsidRDefault="006219DA" w:rsidP="00AB6544">
            <w:pPr>
              <w:pStyle w:val="NoSpacing"/>
              <w:rPr>
                <w:rFonts w:ascii="Arial" w:hAnsi="Arial" w:cs="Arial"/>
              </w:rPr>
            </w:pPr>
            <w:r w:rsidRPr="00A13FE9">
              <w:rPr>
                <w:rFonts w:ascii="Arial" w:hAnsi="Arial" w:cs="Arial"/>
              </w:rPr>
              <w:t>Annual Report – schedule to be confirmed</w:t>
            </w:r>
          </w:p>
        </w:tc>
      </w:tr>
    </w:tbl>
    <w:p w14:paraId="59A58758" w14:textId="44F0B5E3" w:rsidR="00794DD3" w:rsidRDefault="00794DD3" w:rsidP="0D5360B6">
      <w:pPr>
        <w:rPr>
          <w:b/>
          <w:bCs/>
          <w:color w:val="000000" w:themeColor="text1"/>
          <w:lang w:eastAsia="en-GB"/>
        </w:rPr>
      </w:pPr>
    </w:p>
    <w:p w14:paraId="178C37E8" w14:textId="4AA29430" w:rsidR="00654F8B" w:rsidRPr="00716A65" w:rsidRDefault="006219DA" w:rsidP="00654F8B">
      <w:pPr>
        <w:rPr>
          <w:color w:val="000000" w:themeColor="text1"/>
        </w:rPr>
      </w:pPr>
      <w:r w:rsidRPr="001B1936">
        <w:rPr>
          <w:b/>
          <w:bCs/>
          <w:color w:val="000000" w:themeColor="text1"/>
        </w:rPr>
        <w:t>Additional service developments</w:t>
      </w:r>
      <w:r>
        <w:rPr>
          <w:color w:val="000000" w:themeColor="text1"/>
        </w:rPr>
        <w:t xml:space="preserve">. </w:t>
      </w:r>
      <w:r w:rsidRPr="00716A65">
        <w:rPr>
          <w:color w:val="000000" w:themeColor="text1"/>
        </w:rPr>
        <w:t>In addition to the above established key performance indicators many other service developments, projects and achievements are ongoing supporting and delivering the Protecting our Environment corporate priority.  Performance metrics are being developed for these areas, along with associated targets where appropriate</w:t>
      </w:r>
      <w:r w:rsidR="0004094C">
        <w:rPr>
          <w:color w:val="000000" w:themeColor="text1"/>
        </w:rPr>
        <w:t>,</w:t>
      </w:r>
      <w:r w:rsidRPr="00716A65">
        <w:rPr>
          <w:color w:val="000000" w:themeColor="text1"/>
        </w:rPr>
        <w:t xml:space="preserve"> for inclusion in future reports.</w:t>
      </w:r>
    </w:p>
    <w:p w14:paraId="794971DB" w14:textId="56CCAFAA" w:rsidR="00654F8B" w:rsidRPr="00716A65" w:rsidRDefault="006219DA" w:rsidP="00654F8B">
      <w:pPr>
        <w:rPr>
          <w:color w:val="000000" w:themeColor="text1"/>
        </w:rPr>
      </w:pPr>
      <w:r w:rsidRPr="00716A65">
        <w:rPr>
          <w:color w:val="000000" w:themeColor="text1"/>
        </w:rPr>
        <w:t>These development areas include:</w:t>
      </w:r>
    </w:p>
    <w:p w14:paraId="40D5C79A" w14:textId="0EC45A53" w:rsidR="00390CCA" w:rsidRPr="00716A65" w:rsidRDefault="006219DA" w:rsidP="00390CCA">
      <w:pPr>
        <w:pStyle w:val="ListParagraph"/>
        <w:numPr>
          <w:ilvl w:val="0"/>
          <w:numId w:val="5"/>
        </w:numPr>
        <w:rPr>
          <w:b/>
          <w:bCs/>
          <w:color w:val="000000" w:themeColor="text1"/>
        </w:rPr>
      </w:pPr>
      <w:r w:rsidRPr="00716A65">
        <w:t xml:space="preserve">An ambitious carbon reduction and nature recovery resolution that seeks to 'transition the Lancashire economy away from carbon by 2030 and address the biodiversity crisis'. A new Carbon Strategy Team </w:t>
      </w:r>
      <w:r w:rsidR="00304170" w:rsidRPr="00716A65">
        <w:t xml:space="preserve">is being created </w:t>
      </w:r>
      <w:r w:rsidRPr="00716A65">
        <w:t xml:space="preserve">with responsibility for the development of mitigation and adaptation measures across </w:t>
      </w:r>
      <w:r w:rsidR="00304170" w:rsidRPr="00716A65">
        <w:t xml:space="preserve">the </w:t>
      </w:r>
      <w:r w:rsidRPr="00716A65">
        <w:t>asset portfolio</w:t>
      </w:r>
      <w:r w:rsidR="00304170" w:rsidRPr="00716A65">
        <w:t>.</w:t>
      </w:r>
    </w:p>
    <w:p w14:paraId="5B768F33" w14:textId="34679F9B" w:rsidR="00EA2274" w:rsidRPr="00716A65" w:rsidRDefault="006219DA" w:rsidP="00390CCA">
      <w:pPr>
        <w:pStyle w:val="ListParagraph"/>
        <w:numPr>
          <w:ilvl w:val="0"/>
          <w:numId w:val="5"/>
        </w:numPr>
        <w:rPr>
          <w:b/>
          <w:bCs/>
          <w:color w:val="000000" w:themeColor="text1"/>
        </w:rPr>
      </w:pPr>
      <w:r w:rsidRPr="00716A65">
        <w:t>Nearing</w:t>
      </w:r>
      <w:r w:rsidR="00390CCA" w:rsidRPr="00716A65">
        <w:t xml:space="preserve"> completion of an ambitious programme of LED street lighting conversion for all 152k streetlights - reducing carbon emissions by 84,400 tonnes (equivalent to driving over 3 billion miles in a diesel car) and sav</w:t>
      </w:r>
      <w:r w:rsidR="00FC07D5">
        <w:t>ing</w:t>
      </w:r>
      <w:r w:rsidR="00390CCA" w:rsidRPr="00716A65">
        <w:t xml:space="preserve"> £40 million in energy costs by March </w:t>
      </w:r>
      <w:r w:rsidR="00E85B26" w:rsidRPr="00716A65">
        <w:t>2022.</w:t>
      </w:r>
    </w:p>
    <w:p w14:paraId="72687530" w14:textId="1DC9E0F2" w:rsidR="00876498" w:rsidRPr="00716A65" w:rsidRDefault="006219DA" w:rsidP="00390CCA">
      <w:pPr>
        <w:pStyle w:val="ListParagraph"/>
        <w:numPr>
          <w:ilvl w:val="0"/>
          <w:numId w:val="5"/>
        </w:numPr>
        <w:rPr>
          <w:b/>
          <w:bCs/>
          <w:color w:val="000000" w:themeColor="text1"/>
        </w:rPr>
      </w:pPr>
      <w:r w:rsidRPr="00716A65">
        <w:t>D</w:t>
      </w:r>
      <w:r w:rsidR="00390CCA" w:rsidRPr="00716A65">
        <w:t>evelop</w:t>
      </w:r>
      <w:r w:rsidRPr="00716A65">
        <w:t>ing</w:t>
      </w:r>
      <w:r w:rsidR="00390CCA" w:rsidRPr="00716A65">
        <w:t xml:space="preserve"> two submissions for the Local Government Association’s Pass the Planet campaign. The low carbon schemes will be showcased by the LGA in the autumn and the team have produced two short videos to show the work done and the impacts </w:t>
      </w:r>
      <w:r w:rsidR="0091738B" w:rsidRPr="00716A65">
        <w:t>achieved</w:t>
      </w:r>
      <w:r w:rsidR="00390CCA" w:rsidRPr="00716A65">
        <w:t xml:space="preserve">. </w:t>
      </w:r>
    </w:p>
    <w:p w14:paraId="02D8BFA6" w14:textId="381954C7" w:rsidR="00876498" w:rsidRPr="00716A65" w:rsidRDefault="006219DA" w:rsidP="00390CCA">
      <w:pPr>
        <w:pStyle w:val="ListParagraph"/>
        <w:numPr>
          <w:ilvl w:val="0"/>
          <w:numId w:val="5"/>
        </w:numPr>
        <w:rPr>
          <w:b/>
          <w:bCs/>
          <w:color w:val="000000" w:themeColor="text1"/>
        </w:rPr>
      </w:pPr>
      <w:r w:rsidRPr="00716A65">
        <w:t>Recycling and CO</w:t>
      </w:r>
      <w:r w:rsidRPr="00341735">
        <w:rPr>
          <w:vertAlign w:val="subscript"/>
        </w:rPr>
        <w:t>2</w:t>
      </w:r>
      <w:r w:rsidRPr="00716A65">
        <w:t xml:space="preserve"> reduction in carriageway resurfacing - new process being used to recycle materials saving bitumen and reducing carbon emissions by 40%.</w:t>
      </w:r>
    </w:p>
    <w:p w14:paraId="372CFA9D" w14:textId="6DAB44D0" w:rsidR="00876498" w:rsidRPr="00716A65" w:rsidRDefault="006219DA" w:rsidP="00390CCA">
      <w:pPr>
        <w:pStyle w:val="ListParagraph"/>
        <w:numPr>
          <w:ilvl w:val="0"/>
          <w:numId w:val="5"/>
        </w:numPr>
        <w:rPr>
          <w:b/>
          <w:bCs/>
          <w:color w:val="000000" w:themeColor="text1"/>
        </w:rPr>
      </w:pPr>
      <w:r w:rsidRPr="00716A65">
        <w:t xml:space="preserve">An </w:t>
      </w:r>
      <w:r w:rsidR="00390CCA" w:rsidRPr="00716A65">
        <w:t>additional focus on recycling</w:t>
      </w:r>
      <w:r w:rsidR="00766844" w:rsidRPr="00716A65">
        <w:t xml:space="preserve"> </w:t>
      </w:r>
      <w:r w:rsidR="00390CCA" w:rsidRPr="00716A65">
        <w:t xml:space="preserve">and </w:t>
      </w:r>
      <w:r w:rsidR="007C0BDD" w:rsidRPr="00716A65">
        <w:t xml:space="preserve">working </w:t>
      </w:r>
      <w:r w:rsidR="00390CCA" w:rsidRPr="00716A65">
        <w:t xml:space="preserve">to become a single use plastic free organisation.  </w:t>
      </w:r>
    </w:p>
    <w:p w14:paraId="47191483" w14:textId="1B3277B0" w:rsidR="00876498" w:rsidRPr="00716A65" w:rsidRDefault="006219DA" w:rsidP="00390CCA">
      <w:pPr>
        <w:pStyle w:val="ListParagraph"/>
        <w:numPr>
          <w:ilvl w:val="0"/>
          <w:numId w:val="5"/>
        </w:numPr>
        <w:rPr>
          <w:b/>
          <w:bCs/>
          <w:color w:val="000000" w:themeColor="text1"/>
        </w:rPr>
      </w:pPr>
      <w:r w:rsidRPr="00716A65">
        <w:t>U</w:t>
      </w:r>
      <w:r w:rsidR="00390CCA" w:rsidRPr="00716A65">
        <w:t>pgrad</w:t>
      </w:r>
      <w:r w:rsidRPr="00716A65">
        <w:t>ing</w:t>
      </w:r>
      <w:r w:rsidR="00390CCA" w:rsidRPr="00716A65">
        <w:t xml:space="preserve"> and install</w:t>
      </w:r>
      <w:r w:rsidRPr="00716A65">
        <w:t>ing</w:t>
      </w:r>
      <w:r w:rsidR="00390CCA" w:rsidRPr="00716A65">
        <w:t xml:space="preserve"> far more energy efficient boilers in a number of </w:t>
      </w:r>
      <w:r w:rsidR="00EB5846" w:rsidRPr="00716A65">
        <w:t xml:space="preserve">Lancashire County Council </w:t>
      </w:r>
      <w:r w:rsidR="00390CCA" w:rsidRPr="00716A65">
        <w:t xml:space="preserve">properties including care homes. </w:t>
      </w:r>
    </w:p>
    <w:p w14:paraId="43A485EF" w14:textId="7A265946" w:rsidR="00781736" w:rsidRPr="00716A65" w:rsidRDefault="006219DA" w:rsidP="00390CCA">
      <w:pPr>
        <w:pStyle w:val="ListParagraph"/>
        <w:numPr>
          <w:ilvl w:val="0"/>
          <w:numId w:val="5"/>
        </w:numPr>
        <w:rPr>
          <w:b/>
          <w:bCs/>
          <w:color w:val="000000" w:themeColor="text1"/>
        </w:rPr>
      </w:pPr>
      <w:r w:rsidRPr="00716A65">
        <w:t>I</w:t>
      </w:r>
      <w:r w:rsidR="00390CCA" w:rsidRPr="00716A65">
        <w:t xml:space="preserve">mplementing a project to install solar arrays and source heat pumps on three libraries, projected financial savings are £36,371 per annum with combined carbon emission reductions of 21.6 tonnes per annum. The works will also improve the internal comfort of the libraries.  </w:t>
      </w:r>
    </w:p>
    <w:p w14:paraId="73FE0C4A" w14:textId="5B6E816D" w:rsidR="004039E0" w:rsidRPr="00716A65" w:rsidRDefault="006219DA" w:rsidP="4E6013FB">
      <w:pPr>
        <w:pStyle w:val="ListParagraph"/>
        <w:numPr>
          <w:ilvl w:val="0"/>
          <w:numId w:val="5"/>
        </w:numPr>
        <w:rPr>
          <w:b/>
          <w:bCs/>
          <w:color w:val="000000" w:themeColor="text1"/>
        </w:rPr>
      </w:pPr>
      <w:r w:rsidRPr="00716A65">
        <w:t>W</w:t>
      </w:r>
      <w:r w:rsidR="00390CCA" w:rsidRPr="00716A65">
        <w:t>ork</w:t>
      </w:r>
      <w:r w:rsidRPr="00716A65">
        <w:t>ing</w:t>
      </w:r>
      <w:r w:rsidR="00390CCA" w:rsidRPr="00716A65">
        <w:t xml:space="preserve"> with partners on the installation of electric car charging points on</w:t>
      </w:r>
      <w:r w:rsidR="005F3EC7" w:rsidRPr="00716A65">
        <w:t xml:space="preserve"> the</w:t>
      </w:r>
      <w:r w:rsidR="00390CCA" w:rsidRPr="00716A65">
        <w:t xml:space="preserve"> highway network and at 150 locations</w:t>
      </w:r>
    </w:p>
    <w:p w14:paraId="23FF6AD9" w14:textId="77777777" w:rsidR="0018338F" w:rsidRDefault="0018338F" w:rsidP="4E6013FB">
      <w:pPr>
        <w:rPr>
          <w:b/>
          <w:bCs/>
          <w:sz w:val="40"/>
          <w:szCs w:val="32"/>
          <w:lang w:eastAsia="en-GB"/>
        </w:rPr>
      </w:pPr>
    </w:p>
    <w:p w14:paraId="5821BC5C" w14:textId="77777777" w:rsidR="00F0782F" w:rsidRDefault="00F0782F" w:rsidP="4E6013FB">
      <w:pPr>
        <w:rPr>
          <w:b/>
          <w:bCs/>
          <w:sz w:val="40"/>
          <w:szCs w:val="32"/>
          <w:lang w:eastAsia="en-GB"/>
        </w:rPr>
      </w:pPr>
    </w:p>
    <w:p w14:paraId="56DDC461" w14:textId="77777777" w:rsidR="00FF6190" w:rsidRDefault="00FF6190" w:rsidP="4E6013FB">
      <w:pPr>
        <w:rPr>
          <w:b/>
          <w:bCs/>
          <w:sz w:val="40"/>
          <w:szCs w:val="32"/>
          <w:lang w:eastAsia="en-GB"/>
        </w:rPr>
      </w:pPr>
    </w:p>
    <w:p w14:paraId="5098206F" w14:textId="27A0976C" w:rsidR="001453A9" w:rsidRPr="00170D99" w:rsidRDefault="006219DA" w:rsidP="4E6013FB">
      <w:pPr>
        <w:rPr>
          <w:rFonts w:eastAsiaTheme="minorHAnsi" w:cs="Arial"/>
          <w:b/>
          <w:bCs/>
          <w:color w:val="1F497D"/>
        </w:rPr>
      </w:pPr>
      <w:r w:rsidRPr="00794DD3">
        <w:rPr>
          <w:b/>
          <w:bCs/>
          <w:sz w:val="40"/>
          <w:szCs w:val="32"/>
          <w:lang w:eastAsia="en-GB"/>
        </w:rPr>
        <w:t>Supporting Economic Growth</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245"/>
        <w:gridCol w:w="1380"/>
        <w:gridCol w:w="780"/>
        <w:gridCol w:w="1365"/>
        <w:gridCol w:w="1340"/>
        <w:gridCol w:w="1255"/>
        <w:gridCol w:w="1438"/>
        <w:gridCol w:w="1418"/>
        <w:gridCol w:w="2268"/>
      </w:tblGrid>
      <w:tr w:rsidR="00176ACB" w14:paraId="492A96A9" w14:textId="77777777" w:rsidTr="00170D99">
        <w:trPr>
          <w:trHeight w:val="740"/>
        </w:trPr>
        <w:tc>
          <w:tcPr>
            <w:tcW w:w="1545" w:type="dxa"/>
            <w:tcBorders>
              <w:top w:val="single" w:sz="4" w:space="0" w:color="auto"/>
              <w:left w:val="single" w:sz="4" w:space="0" w:color="auto"/>
              <w:bottom w:val="single" w:sz="4" w:space="0" w:color="auto"/>
              <w:right w:val="single" w:sz="4" w:space="0" w:color="auto"/>
            </w:tcBorders>
            <w:hideMark/>
          </w:tcPr>
          <w:p w14:paraId="5DAFFE60" w14:textId="77777777" w:rsidR="00794DD3" w:rsidRDefault="006219DA" w:rsidP="00AB6544">
            <w:pPr>
              <w:pStyle w:val="NoSpacing"/>
              <w:rPr>
                <w:rFonts w:ascii="Arial" w:hAnsi="Arial" w:cs="Arial"/>
                <w:b/>
                <w:bCs/>
              </w:rPr>
            </w:pPr>
            <w:r w:rsidRPr="0CF1EE9E">
              <w:rPr>
                <w:rFonts w:ascii="Arial" w:hAnsi="Arial" w:cs="Arial"/>
                <w:b/>
                <w:bCs/>
                <w:sz w:val="20"/>
                <w:szCs w:val="20"/>
              </w:rPr>
              <w:t>Performance Indicator</w:t>
            </w:r>
          </w:p>
        </w:tc>
        <w:tc>
          <w:tcPr>
            <w:tcW w:w="1245" w:type="dxa"/>
            <w:tcBorders>
              <w:top w:val="single" w:sz="4" w:space="0" w:color="auto"/>
              <w:left w:val="single" w:sz="4" w:space="0" w:color="auto"/>
              <w:bottom w:val="single" w:sz="4" w:space="0" w:color="auto"/>
              <w:right w:val="single" w:sz="4" w:space="0" w:color="auto"/>
            </w:tcBorders>
            <w:hideMark/>
          </w:tcPr>
          <w:p w14:paraId="43BEA422" w14:textId="4B6CE100" w:rsidR="00794DD3" w:rsidRDefault="006219DA" w:rsidP="00AB6544">
            <w:pPr>
              <w:pStyle w:val="NoSpacing"/>
              <w:rPr>
                <w:rFonts w:ascii="Arial" w:hAnsi="Arial" w:cs="Arial"/>
                <w:b/>
                <w:bCs/>
              </w:rPr>
            </w:pPr>
            <w:r w:rsidRPr="0D5360B6">
              <w:rPr>
                <w:rFonts w:ascii="Arial" w:hAnsi="Arial" w:cs="Arial"/>
                <w:b/>
                <w:bCs/>
                <w:sz w:val="20"/>
                <w:szCs w:val="20"/>
              </w:rPr>
              <w:t>Freq</w:t>
            </w:r>
            <w:r w:rsidR="0287F7A8" w:rsidRPr="0D5360B6">
              <w:rPr>
                <w:rFonts w:ascii="Arial" w:hAnsi="Arial" w:cs="Arial"/>
                <w:b/>
                <w:bCs/>
                <w:sz w:val="20"/>
                <w:szCs w:val="20"/>
              </w:rPr>
              <w:t>uency</w:t>
            </w:r>
          </w:p>
        </w:tc>
        <w:tc>
          <w:tcPr>
            <w:tcW w:w="1380" w:type="dxa"/>
            <w:tcBorders>
              <w:top w:val="single" w:sz="4" w:space="0" w:color="auto"/>
              <w:left w:val="single" w:sz="4" w:space="0" w:color="auto"/>
              <w:bottom w:val="single" w:sz="4" w:space="0" w:color="auto"/>
              <w:right w:val="single" w:sz="4" w:space="0" w:color="auto"/>
            </w:tcBorders>
          </w:tcPr>
          <w:p w14:paraId="03AB7E7A" w14:textId="77777777" w:rsidR="00794DD3" w:rsidRDefault="006219DA" w:rsidP="00AB6544">
            <w:pPr>
              <w:pStyle w:val="NoSpacing"/>
              <w:rPr>
                <w:rFonts w:ascii="Arial" w:hAnsi="Arial" w:cs="Arial"/>
                <w:b/>
                <w:bCs/>
              </w:rPr>
            </w:pPr>
            <w:r w:rsidRPr="0CF1EE9E">
              <w:rPr>
                <w:rFonts w:ascii="Arial" w:hAnsi="Arial" w:cs="Arial"/>
                <w:b/>
                <w:bCs/>
                <w:sz w:val="20"/>
                <w:szCs w:val="20"/>
              </w:rPr>
              <w:t xml:space="preserve">Directorate </w:t>
            </w:r>
          </w:p>
        </w:tc>
        <w:tc>
          <w:tcPr>
            <w:tcW w:w="780" w:type="dxa"/>
            <w:tcBorders>
              <w:top w:val="single" w:sz="4" w:space="0" w:color="auto"/>
              <w:left w:val="single" w:sz="4" w:space="0" w:color="auto"/>
              <w:bottom w:val="single" w:sz="4" w:space="0" w:color="auto"/>
              <w:right w:val="single" w:sz="4" w:space="0" w:color="auto"/>
            </w:tcBorders>
          </w:tcPr>
          <w:p w14:paraId="651FC4CB" w14:textId="77777777" w:rsidR="00794DD3" w:rsidRDefault="006219DA" w:rsidP="00AB6544">
            <w:pPr>
              <w:pStyle w:val="NoSpacing"/>
              <w:rPr>
                <w:rFonts w:ascii="Arial" w:hAnsi="Arial" w:cs="Arial"/>
                <w:b/>
                <w:bCs/>
              </w:rPr>
            </w:pPr>
            <w:r w:rsidRPr="0CF1EE9E">
              <w:rPr>
                <w:rFonts w:ascii="Arial" w:hAnsi="Arial" w:cs="Arial"/>
                <w:b/>
                <w:bCs/>
                <w:sz w:val="20"/>
                <w:szCs w:val="20"/>
              </w:rPr>
              <w:t>Good 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CD7B9D" w14:textId="77777777" w:rsidR="00794DD3" w:rsidRDefault="006219DA" w:rsidP="00AB6544">
            <w:pPr>
              <w:pStyle w:val="NoSpacing"/>
              <w:rPr>
                <w:rFonts w:ascii="Arial" w:hAnsi="Arial" w:cs="Arial"/>
                <w:b/>
                <w:bCs/>
              </w:rPr>
            </w:pPr>
            <w:r w:rsidRPr="0CF1EE9E">
              <w:rPr>
                <w:rFonts w:ascii="Arial" w:hAnsi="Arial" w:cs="Arial"/>
                <w:b/>
                <w:bCs/>
                <w:sz w:val="20"/>
                <w:szCs w:val="20"/>
              </w:rPr>
              <w:t>2019/20 Outturn</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7C0BDDAB" w14:textId="77777777" w:rsidR="00794DD3" w:rsidRDefault="006219DA" w:rsidP="00AB6544">
            <w:pPr>
              <w:pStyle w:val="NoSpacing"/>
              <w:rPr>
                <w:rFonts w:ascii="Arial" w:hAnsi="Arial" w:cs="Arial"/>
                <w:b/>
                <w:bCs/>
              </w:rPr>
            </w:pPr>
            <w:r>
              <w:rPr>
                <w:rFonts w:ascii="Arial" w:hAnsi="Arial" w:cs="Arial"/>
                <w:b/>
                <w:bCs/>
                <w:sz w:val="20"/>
                <w:szCs w:val="20"/>
              </w:rPr>
              <w:t xml:space="preserve">2020/21 </w:t>
            </w:r>
            <w:r w:rsidRPr="0CF1EE9E">
              <w:rPr>
                <w:rFonts w:ascii="Arial" w:hAnsi="Arial" w:cs="Arial"/>
                <w:b/>
                <w:bCs/>
                <w:sz w:val="20"/>
                <w:szCs w:val="20"/>
              </w:rPr>
              <w:t xml:space="preserve">Quarter 3 </w:t>
            </w:r>
            <w:r w:rsidRPr="0CF1EE9E">
              <w:rPr>
                <w:rFonts w:ascii="Arial" w:hAnsi="Arial" w:cs="Arial"/>
                <w:b/>
                <w:bCs/>
                <w:sz w:val="18"/>
                <w:szCs w:val="18"/>
              </w:rPr>
              <w:t>(October - December)</w:t>
            </w:r>
          </w:p>
        </w:tc>
        <w:tc>
          <w:tcPr>
            <w:tcW w:w="1255" w:type="dxa"/>
            <w:tcBorders>
              <w:top w:val="single" w:sz="4" w:space="0" w:color="auto"/>
              <w:left w:val="single" w:sz="4" w:space="0" w:color="auto"/>
              <w:bottom w:val="single" w:sz="4" w:space="0" w:color="auto"/>
              <w:right w:val="single" w:sz="4" w:space="0" w:color="auto"/>
            </w:tcBorders>
          </w:tcPr>
          <w:p w14:paraId="6E43ECB1" w14:textId="77777777" w:rsidR="00794DD3" w:rsidRDefault="006219DA" w:rsidP="00AB6544">
            <w:pPr>
              <w:pStyle w:val="NoSpacing"/>
              <w:rPr>
                <w:rFonts w:ascii="Arial" w:hAnsi="Arial" w:cs="Arial"/>
              </w:rPr>
            </w:pPr>
            <w:r>
              <w:rPr>
                <w:rFonts w:ascii="Arial" w:hAnsi="Arial" w:cs="Arial"/>
                <w:b/>
                <w:bCs/>
                <w:sz w:val="20"/>
                <w:szCs w:val="20"/>
              </w:rPr>
              <w:t xml:space="preserve">2020/21 </w:t>
            </w:r>
            <w:r w:rsidRPr="0CF1EE9E">
              <w:rPr>
                <w:rFonts w:ascii="Arial" w:hAnsi="Arial" w:cs="Arial"/>
                <w:b/>
                <w:bCs/>
                <w:sz w:val="20"/>
                <w:szCs w:val="20"/>
              </w:rPr>
              <w:t xml:space="preserve">Quarter 4 </w:t>
            </w:r>
            <w:r w:rsidRPr="0CF1EE9E">
              <w:rPr>
                <w:rFonts w:ascii="Arial" w:hAnsi="Arial" w:cs="Arial"/>
                <w:b/>
                <w:bCs/>
                <w:sz w:val="18"/>
                <w:szCs w:val="18"/>
              </w:rPr>
              <w:t>(January - March)</w:t>
            </w:r>
          </w:p>
        </w:tc>
        <w:tc>
          <w:tcPr>
            <w:tcW w:w="1438" w:type="dxa"/>
            <w:tcBorders>
              <w:top w:val="single" w:sz="4" w:space="0" w:color="auto"/>
              <w:left w:val="single" w:sz="4" w:space="0" w:color="auto"/>
              <w:bottom w:val="single" w:sz="4" w:space="0" w:color="auto"/>
              <w:right w:val="single" w:sz="4" w:space="0" w:color="auto"/>
            </w:tcBorders>
          </w:tcPr>
          <w:p w14:paraId="3EDC4101" w14:textId="77777777" w:rsidR="00794DD3" w:rsidRDefault="006219DA" w:rsidP="00AB6544">
            <w:pPr>
              <w:pStyle w:val="NoSpacing"/>
              <w:rPr>
                <w:rFonts w:ascii="Arial" w:hAnsi="Arial" w:cs="Arial"/>
                <w:b/>
                <w:bCs/>
              </w:rPr>
            </w:pPr>
            <w:r w:rsidRPr="0CF1EE9E">
              <w:rPr>
                <w:rFonts w:ascii="Arial" w:hAnsi="Arial" w:cs="Arial"/>
                <w:b/>
                <w:bCs/>
                <w:sz w:val="20"/>
                <w:szCs w:val="20"/>
              </w:rPr>
              <w:t xml:space="preserve">2021/22 Quarter 1 </w:t>
            </w:r>
            <w:r w:rsidRPr="0CF1EE9E">
              <w:rPr>
                <w:rFonts w:ascii="Arial" w:hAnsi="Arial" w:cs="Arial"/>
                <w:b/>
                <w:bCs/>
                <w:sz w:val="18"/>
                <w:szCs w:val="18"/>
              </w:rPr>
              <w:t>(April –June)</w:t>
            </w:r>
          </w:p>
          <w:p w14:paraId="22B6A333" w14:textId="77777777" w:rsidR="00794DD3" w:rsidRDefault="00794DD3" w:rsidP="00AB6544">
            <w:pPr>
              <w:pStyle w:val="NoSpacing"/>
              <w:rPr>
                <w:b/>
                <w:bCs/>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9F9B37" w14:textId="77777777" w:rsidR="00794DD3" w:rsidRDefault="006219DA" w:rsidP="00AB6544">
            <w:pPr>
              <w:pStyle w:val="NoSpacing"/>
              <w:rPr>
                <w:rFonts w:ascii="Arial" w:hAnsi="Arial" w:cs="Arial"/>
                <w:b/>
                <w:bCs/>
                <w:sz w:val="20"/>
                <w:szCs w:val="20"/>
              </w:rPr>
            </w:pPr>
            <w:r>
              <w:rPr>
                <w:rFonts w:ascii="Arial" w:hAnsi="Arial" w:cs="Arial"/>
                <w:b/>
                <w:bCs/>
                <w:sz w:val="20"/>
                <w:szCs w:val="20"/>
              </w:rPr>
              <w:t xml:space="preserve">2021/22 </w:t>
            </w:r>
          </w:p>
          <w:p w14:paraId="2D1275F5" w14:textId="77777777" w:rsidR="00794DD3" w:rsidRDefault="006219DA" w:rsidP="00AB6544">
            <w:pPr>
              <w:pStyle w:val="NoSpacing"/>
              <w:rPr>
                <w:rFonts w:ascii="Arial" w:hAnsi="Arial" w:cs="Arial"/>
                <w:b/>
                <w:bCs/>
                <w:sz w:val="20"/>
                <w:szCs w:val="20"/>
              </w:rPr>
            </w:pPr>
            <w:r>
              <w:rPr>
                <w:rFonts w:ascii="Arial" w:hAnsi="Arial" w:cs="Arial"/>
                <w:b/>
                <w:bCs/>
                <w:sz w:val="20"/>
                <w:szCs w:val="20"/>
              </w:rPr>
              <w:t xml:space="preserve">Quarter 2 </w:t>
            </w:r>
          </w:p>
          <w:p w14:paraId="3843FDD6" w14:textId="77777777" w:rsidR="00794DD3" w:rsidRPr="62385CB5" w:rsidRDefault="006219DA" w:rsidP="00AB6544">
            <w:pPr>
              <w:pStyle w:val="NoSpacing"/>
              <w:rPr>
                <w:rFonts w:ascii="Arial" w:hAnsi="Arial" w:cs="Arial"/>
                <w:b/>
                <w:bCs/>
                <w:sz w:val="20"/>
                <w:szCs w:val="20"/>
              </w:rPr>
            </w:pPr>
            <w:r w:rsidRPr="00254A8C">
              <w:rPr>
                <w:rFonts w:ascii="Arial" w:hAnsi="Arial" w:cs="Arial"/>
                <w:b/>
                <w:bCs/>
                <w:sz w:val="18"/>
                <w:szCs w:val="18"/>
              </w:rPr>
              <w:t>(July – Sep)</w:t>
            </w:r>
          </w:p>
        </w:tc>
        <w:tc>
          <w:tcPr>
            <w:tcW w:w="2268" w:type="dxa"/>
            <w:tcBorders>
              <w:top w:val="single" w:sz="4" w:space="0" w:color="auto"/>
              <w:left w:val="single" w:sz="4" w:space="0" w:color="auto"/>
              <w:bottom w:val="single" w:sz="4" w:space="0" w:color="auto"/>
              <w:right w:val="single" w:sz="4" w:space="0" w:color="auto"/>
            </w:tcBorders>
          </w:tcPr>
          <w:p w14:paraId="236DDFAC" w14:textId="77777777" w:rsidR="00794DD3" w:rsidRDefault="006219DA" w:rsidP="00AB6544">
            <w:pPr>
              <w:pStyle w:val="NoSpacing"/>
              <w:rPr>
                <w:rFonts w:ascii="Arial" w:hAnsi="Arial" w:cs="Arial"/>
                <w:b/>
                <w:bCs/>
                <w:sz w:val="20"/>
                <w:szCs w:val="20"/>
              </w:rPr>
            </w:pPr>
            <w:r w:rsidRPr="62385CB5">
              <w:rPr>
                <w:rFonts w:ascii="Arial" w:hAnsi="Arial" w:cs="Arial"/>
                <w:b/>
                <w:bCs/>
                <w:sz w:val="20"/>
                <w:szCs w:val="20"/>
              </w:rPr>
              <w:t>Project Targets</w:t>
            </w:r>
          </w:p>
        </w:tc>
      </w:tr>
      <w:tr w:rsidR="00176ACB" w14:paraId="3D5B9DD0" w14:textId="77777777" w:rsidTr="00170D99">
        <w:trPr>
          <w:trHeight w:val="1740"/>
        </w:trPr>
        <w:tc>
          <w:tcPr>
            <w:tcW w:w="1545" w:type="dxa"/>
            <w:tcBorders>
              <w:top w:val="single" w:sz="4" w:space="0" w:color="auto"/>
              <w:left w:val="single" w:sz="4" w:space="0" w:color="auto"/>
              <w:bottom w:val="single" w:sz="8" w:space="0" w:color="auto"/>
              <w:right w:val="single" w:sz="4" w:space="0" w:color="auto"/>
            </w:tcBorders>
            <w:hideMark/>
          </w:tcPr>
          <w:p w14:paraId="01E2AEAF" w14:textId="77777777" w:rsidR="00794DD3" w:rsidRPr="00FA30B2" w:rsidRDefault="006219DA" w:rsidP="00AB6544">
            <w:pPr>
              <w:pStyle w:val="NoSpacing"/>
              <w:rPr>
                <w:rFonts w:ascii="Arial" w:hAnsi="Arial" w:cs="Arial"/>
                <w:sz w:val="20"/>
                <w:szCs w:val="20"/>
              </w:rPr>
            </w:pPr>
            <w:r w:rsidRPr="62385CB5">
              <w:rPr>
                <w:rFonts w:ascii="Arial" w:hAnsi="Arial" w:cs="Arial"/>
                <w:sz w:val="20"/>
                <w:szCs w:val="20"/>
              </w:rPr>
              <w:t>Number of Rosebud loans provided to new or existing businesses</w:t>
            </w:r>
          </w:p>
        </w:tc>
        <w:tc>
          <w:tcPr>
            <w:tcW w:w="1245" w:type="dxa"/>
            <w:tcBorders>
              <w:top w:val="single" w:sz="4" w:space="0" w:color="auto"/>
              <w:left w:val="single" w:sz="4" w:space="0" w:color="auto"/>
              <w:bottom w:val="single" w:sz="8" w:space="0" w:color="auto"/>
              <w:right w:val="single" w:sz="4" w:space="0" w:color="auto"/>
            </w:tcBorders>
            <w:hideMark/>
          </w:tcPr>
          <w:p w14:paraId="70542884" w14:textId="11EDC10B" w:rsidR="00794DD3" w:rsidRPr="00FA30B2" w:rsidRDefault="006219DA" w:rsidP="00AB6544">
            <w:pPr>
              <w:pStyle w:val="NoSpacing"/>
              <w:rPr>
                <w:rFonts w:ascii="Arial" w:hAnsi="Arial" w:cs="Arial"/>
                <w:sz w:val="20"/>
                <w:szCs w:val="20"/>
              </w:rPr>
            </w:pPr>
            <w:r w:rsidRPr="0D5360B6">
              <w:rPr>
                <w:rFonts w:ascii="Arial" w:hAnsi="Arial" w:cs="Arial"/>
                <w:sz w:val="20"/>
                <w:szCs w:val="20"/>
              </w:rPr>
              <w:t>Quart</w:t>
            </w:r>
            <w:r w:rsidR="67886A3E" w:rsidRPr="0D5360B6">
              <w:rPr>
                <w:rFonts w:ascii="Arial" w:hAnsi="Arial" w:cs="Arial"/>
                <w:sz w:val="20"/>
                <w:szCs w:val="20"/>
              </w:rPr>
              <w:t>erl</w:t>
            </w:r>
            <w:r w:rsidRPr="0D5360B6">
              <w:rPr>
                <w:rFonts w:ascii="Arial" w:hAnsi="Arial" w:cs="Arial"/>
                <w:sz w:val="20"/>
                <w:szCs w:val="20"/>
              </w:rPr>
              <w:t>y</w:t>
            </w:r>
          </w:p>
        </w:tc>
        <w:tc>
          <w:tcPr>
            <w:tcW w:w="1380" w:type="dxa"/>
            <w:tcBorders>
              <w:top w:val="single" w:sz="4" w:space="0" w:color="auto"/>
              <w:left w:val="single" w:sz="4" w:space="0" w:color="auto"/>
              <w:bottom w:val="single" w:sz="8" w:space="0" w:color="auto"/>
              <w:right w:val="single" w:sz="4" w:space="0" w:color="auto"/>
            </w:tcBorders>
          </w:tcPr>
          <w:p w14:paraId="67A351F4" w14:textId="77777777" w:rsidR="00794DD3" w:rsidRPr="00FA30B2" w:rsidRDefault="006219DA" w:rsidP="00AB6544">
            <w:pPr>
              <w:pStyle w:val="NoSpacing"/>
              <w:rPr>
                <w:rFonts w:ascii="Arial" w:hAnsi="Arial" w:cs="Arial"/>
                <w:sz w:val="20"/>
                <w:szCs w:val="20"/>
              </w:rPr>
            </w:pPr>
            <w:r w:rsidRPr="62385CB5">
              <w:rPr>
                <w:rFonts w:ascii="Arial" w:hAnsi="Arial" w:cs="Arial"/>
                <w:sz w:val="20"/>
                <w:szCs w:val="20"/>
              </w:rPr>
              <w:t>Growth, Environment &amp; Transport</w:t>
            </w:r>
          </w:p>
        </w:tc>
        <w:tc>
          <w:tcPr>
            <w:tcW w:w="780" w:type="dxa"/>
            <w:tcBorders>
              <w:top w:val="single" w:sz="4" w:space="0" w:color="auto"/>
              <w:left w:val="single" w:sz="4" w:space="0" w:color="auto"/>
              <w:bottom w:val="single" w:sz="8" w:space="0" w:color="auto"/>
              <w:right w:val="single" w:sz="4" w:space="0" w:color="auto"/>
            </w:tcBorders>
          </w:tcPr>
          <w:p w14:paraId="7F8BF419" w14:textId="77777777" w:rsidR="00794DD3" w:rsidRDefault="00794DD3" w:rsidP="00AB6544">
            <w:pPr>
              <w:pStyle w:val="NoSpacing"/>
              <w:rPr>
                <w:rFonts w:ascii="Arial" w:hAnsi="Arial" w:cs="Arial"/>
                <w:sz w:val="20"/>
                <w:szCs w:val="20"/>
              </w:rPr>
            </w:pPr>
          </w:p>
          <w:p w14:paraId="372069F4" w14:textId="77777777" w:rsidR="00794DD3" w:rsidRPr="00FA30B2" w:rsidRDefault="006219DA" w:rsidP="00AB6544">
            <w:pPr>
              <w:pStyle w:val="NoSpacing"/>
              <w:rPr>
                <w:rFonts w:ascii="Arial" w:hAnsi="Arial" w:cs="Arial"/>
                <w:sz w:val="20"/>
                <w:szCs w:val="20"/>
              </w:rPr>
            </w:pPr>
            <w:r w:rsidRPr="62385CB5">
              <w:rPr>
                <w:rFonts w:ascii="Arial" w:hAnsi="Arial" w:cs="Arial"/>
                <w:sz w:val="20"/>
                <w:szCs w:val="20"/>
              </w:rPr>
              <w:t>On target</w:t>
            </w:r>
          </w:p>
        </w:tc>
        <w:tc>
          <w:tcPr>
            <w:tcW w:w="1365" w:type="dxa"/>
            <w:tcBorders>
              <w:top w:val="nil"/>
              <w:left w:val="nil"/>
              <w:bottom w:val="single" w:sz="8" w:space="0" w:color="auto"/>
              <w:right w:val="single" w:sz="8" w:space="0" w:color="auto"/>
            </w:tcBorders>
            <w:shd w:val="clear" w:color="auto" w:fill="C5E0B3" w:themeFill="accent6" w:themeFillTint="66"/>
          </w:tcPr>
          <w:p w14:paraId="718D8DAE" w14:textId="77777777" w:rsidR="00794DD3" w:rsidRDefault="006219DA" w:rsidP="00AB6544">
            <w:pPr>
              <w:pStyle w:val="NoSpacing"/>
              <w:jc w:val="center"/>
              <w:rPr>
                <w:rFonts w:ascii="Arial" w:hAnsi="Arial" w:cs="Arial"/>
                <w:sz w:val="20"/>
                <w:szCs w:val="20"/>
              </w:rPr>
            </w:pPr>
            <w:r w:rsidRPr="62385CB5">
              <w:rPr>
                <w:rFonts w:ascii="Arial" w:hAnsi="Arial" w:cs="Arial"/>
                <w:sz w:val="20"/>
                <w:szCs w:val="20"/>
              </w:rPr>
              <w:t xml:space="preserve">£1,581,000-9 </w:t>
            </w:r>
          </w:p>
          <w:p w14:paraId="5E813675" w14:textId="77777777" w:rsidR="00794DD3" w:rsidRDefault="006219DA" w:rsidP="00AB6544">
            <w:pPr>
              <w:pStyle w:val="NoSpacing"/>
              <w:jc w:val="center"/>
              <w:rPr>
                <w:rFonts w:ascii="Arial" w:hAnsi="Arial" w:cs="Arial"/>
                <w:sz w:val="20"/>
                <w:szCs w:val="20"/>
              </w:rPr>
            </w:pPr>
            <w:r w:rsidRPr="62385CB5">
              <w:rPr>
                <w:rFonts w:ascii="Arial" w:hAnsi="Arial" w:cs="Arial"/>
                <w:sz w:val="20"/>
                <w:szCs w:val="20"/>
              </w:rPr>
              <w:t>investments</w:t>
            </w:r>
          </w:p>
        </w:tc>
        <w:tc>
          <w:tcPr>
            <w:tcW w:w="1340" w:type="dxa"/>
            <w:tcBorders>
              <w:top w:val="single" w:sz="4" w:space="0" w:color="auto"/>
              <w:left w:val="single" w:sz="4" w:space="0" w:color="auto"/>
              <w:bottom w:val="single" w:sz="8" w:space="0" w:color="auto"/>
              <w:right w:val="single" w:sz="4" w:space="0" w:color="auto"/>
            </w:tcBorders>
            <w:shd w:val="clear" w:color="auto" w:fill="FF0000"/>
          </w:tcPr>
          <w:p w14:paraId="207ABC9D" w14:textId="77777777" w:rsidR="007C4869" w:rsidRDefault="006219DA" w:rsidP="00AB6544">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£300,000</w:t>
            </w:r>
            <w:r>
              <w:rPr>
                <w:rFonts w:ascii="Arial" w:hAnsi="Arial" w:cs="Arial"/>
                <w:color w:val="FFFFFF" w:themeColor="background1"/>
                <w:sz w:val="20"/>
                <w:szCs w:val="20"/>
              </w:rPr>
              <w:t xml:space="preserve"> </w:t>
            </w:r>
          </w:p>
          <w:p w14:paraId="1E131639" w14:textId="10F4F57F" w:rsidR="00794DD3" w:rsidRPr="00AB4748" w:rsidRDefault="006219DA" w:rsidP="00AB6544">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 xml:space="preserve"> 1 investment</w:t>
            </w:r>
          </w:p>
        </w:tc>
        <w:tc>
          <w:tcPr>
            <w:tcW w:w="1255" w:type="dxa"/>
            <w:tcBorders>
              <w:top w:val="single" w:sz="4" w:space="0" w:color="auto"/>
              <w:left w:val="single" w:sz="4" w:space="0" w:color="auto"/>
              <w:bottom w:val="single" w:sz="8" w:space="0" w:color="auto"/>
              <w:right w:val="single" w:sz="4" w:space="0" w:color="auto"/>
            </w:tcBorders>
            <w:shd w:val="clear" w:color="auto" w:fill="FF0000"/>
          </w:tcPr>
          <w:p w14:paraId="5D485BE0" w14:textId="77777777" w:rsidR="00794DD3" w:rsidRPr="001121BB" w:rsidRDefault="006219DA" w:rsidP="00AB6544">
            <w:pPr>
              <w:pStyle w:val="NoSpacing"/>
              <w:jc w:val="center"/>
              <w:rPr>
                <w:rFonts w:ascii="Arial" w:hAnsi="Arial" w:cs="Arial"/>
                <w:color w:val="FFFFFF" w:themeColor="background1"/>
                <w:sz w:val="20"/>
                <w:szCs w:val="20"/>
                <w:highlight w:val="red"/>
              </w:rPr>
            </w:pPr>
            <w:r w:rsidRPr="78C3123E">
              <w:rPr>
                <w:rFonts w:ascii="Arial" w:hAnsi="Arial" w:cs="Arial"/>
                <w:color w:val="FFFFFF" w:themeColor="background1"/>
                <w:sz w:val="20"/>
                <w:szCs w:val="20"/>
                <w:highlight w:val="red"/>
              </w:rPr>
              <w:t>0</w:t>
            </w:r>
          </w:p>
        </w:tc>
        <w:tc>
          <w:tcPr>
            <w:tcW w:w="1438" w:type="dxa"/>
            <w:tcBorders>
              <w:top w:val="single" w:sz="4" w:space="0" w:color="auto"/>
              <w:left w:val="single" w:sz="4" w:space="0" w:color="auto"/>
              <w:bottom w:val="single" w:sz="8" w:space="0" w:color="auto"/>
              <w:right w:val="single" w:sz="4" w:space="0" w:color="auto"/>
            </w:tcBorders>
            <w:shd w:val="clear" w:color="auto" w:fill="C5E0B3" w:themeFill="accent6" w:themeFillTint="66"/>
          </w:tcPr>
          <w:p w14:paraId="3BF9920B" w14:textId="503F90D0" w:rsidR="00794DD3" w:rsidRDefault="006219DA" w:rsidP="00AB6544">
            <w:pPr>
              <w:pStyle w:val="NoSpacing"/>
              <w:jc w:val="center"/>
              <w:rPr>
                <w:rFonts w:ascii="Arial" w:hAnsi="Arial" w:cs="Arial"/>
                <w:sz w:val="20"/>
                <w:szCs w:val="20"/>
              </w:rPr>
            </w:pPr>
            <w:r w:rsidRPr="3F67678D">
              <w:rPr>
                <w:rFonts w:ascii="Arial" w:hAnsi="Arial" w:cs="Arial"/>
                <w:sz w:val="20"/>
                <w:szCs w:val="20"/>
              </w:rPr>
              <w:t xml:space="preserve">£569,000 </w:t>
            </w:r>
          </w:p>
          <w:p w14:paraId="70647886" w14:textId="77777777" w:rsidR="00794DD3" w:rsidRDefault="006219DA" w:rsidP="00AB6544">
            <w:pPr>
              <w:pStyle w:val="NoSpacing"/>
              <w:jc w:val="center"/>
              <w:rPr>
                <w:rFonts w:ascii="Arial" w:hAnsi="Arial" w:cs="Arial"/>
                <w:sz w:val="20"/>
                <w:szCs w:val="20"/>
              </w:rPr>
            </w:pPr>
            <w:r w:rsidRPr="62385CB5">
              <w:rPr>
                <w:rFonts w:ascii="Arial" w:hAnsi="Arial" w:cs="Arial"/>
                <w:sz w:val="20"/>
                <w:szCs w:val="20"/>
              </w:rPr>
              <w:t>3 investments</w:t>
            </w:r>
          </w:p>
        </w:tc>
        <w:tc>
          <w:tcPr>
            <w:tcW w:w="1418" w:type="dxa"/>
            <w:tcBorders>
              <w:top w:val="single" w:sz="4" w:space="0" w:color="auto"/>
              <w:left w:val="single" w:sz="4" w:space="0" w:color="auto"/>
              <w:bottom w:val="single" w:sz="8" w:space="0" w:color="auto"/>
              <w:right w:val="single" w:sz="4" w:space="0" w:color="auto"/>
            </w:tcBorders>
            <w:shd w:val="clear" w:color="auto" w:fill="FF0000"/>
          </w:tcPr>
          <w:p w14:paraId="07D94CCF" w14:textId="77777777" w:rsidR="001453A9" w:rsidRPr="00E43241" w:rsidRDefault="006219DA" w:rsidP="001453A9">
            <w:pPr>
              <w:pStyle w:val="NoSpacing"/>
              <w:jc w:val="center"/>
              <w:rPr>
                <w:rFonts w:ascii="Arial" w:hAnsi="Arial" w:cs="Arial"/>
                <w:color w:val="FFFFFF" w:themeColor="background1"/>
                <w:sz w:val="20"/>
                <w:szCs w:val="20"/>
              </w:rPr>
            </w:pPr>
            <w:r w:rsidRPr="00E43241">
              <w:rPr>
                <w:rFonts w:ascii="Arial" w:hAnsi="Arial" w:cs="Arial"/>
                <w:color w:val="FFFFFF" w:themeColor="background1"/>
                <w:sz w:val="20"/>
                <w:szCs w:val="20"/>
              </w:rPr>
              <w:t>£75,000</w:t>
            </w:r>
          </w:p>
          <w:p w14:paraId="5FFF6F39" w14:textId="47399A17" w:rsidR="00794DD3" w:rsidRPr="00E43241" w:rsidRDefault="006219DA" w:rsidP="001453A9">
            <w:pPr>
              <w:pStyle w:val="NoSpacing"/>
              <w:jc w:val="center"/>
              <w:rPr>
                <w:rFonts w:ascii="Arial" w:hAnsi="Arial" w:cs="Arial"/>
                <w:color w:val="FFFFFF" w:themeColor="background1"/>
                <w:sz w:val="20"/>
                <w:szCs w:val="20"/>
              </w:rPr>
            </w:pPr>
            <w:r w:rsidRPr="00E43241">
              <w:rPr>
                <w:rFonts w:ascii="Arial" w:hAnsi="Arial" w:cs="Arial"/>
                <w:color w:val="FFFFFF" w:themeColor="background1"/>
                <w:sz w:val="20"/>
                <w:szCs w:val="20"/>
              </w:rPr>
              <w:t xml:space="preserve">1 investment </w:t>
            </w:r>
          </w:p>
          <w:p w14:paraId="5970A649" w14:textId="783EF10A" w:rsidR="00794DD3" w:rsidRPr="62385CB5" w:rsidRDefault="00794DD3" w:rsidP="4E6013FB">
            <w:pPr>
              <w:pStyle w:val="NoSpacing"/>
              <w:jc w:val="center"/>
              <w:rPr>
                <w:sz w:val="20"/>
                <w:szCs w:val="20"/>
              </w:rPr>
            </w:pPr>
          </w:p>
        </w:tc>
        <w:tc>
          <w:tcPr>
            <w:tcW w:w="2268" w:type="dxa"/>
            <w:tcBorders>
              <w:top w:val="single" w:sz="4" w:space="0" w:color="auto"/>
              <w:left w:val="single" w:sz="4" w:space="0" w:color="auto"/>
              <w:bottom w:val="single" w:sz="8" w:space="0" w:color="auto"/>
              <w:right w:val="single" w:sz="4" w:space="0" w:color="auto"/>
            </w:tcBorders>
          </w:tcPr>
          <w:p w14:paraId="51A8373A" w14:textId="77777777" w:rsidR="00794DD3" w:rsidRPr="00250B77" w:rsidRDefault="006219DA" w:rsidP="00AB6544">
            <w:pPr>
              <w:pStyle w:val="NoSpacing"/>
              <w:jc w:val="center"/>
              <w:rPr>
                <w:rFonts w:ascii="Arial" w:hAnsi="Arial" w:cs="Arial"/>
                <w:sz w:val="20"/>
                <w:szCs w:val="20"/>
              </w:rPr>
            </w:pPr>
            <w:r w:rsidRPr="62385CB5">
              <w:rPr>
                <w:rFonts w:ascii="Arial" w:hAnsi="Arial" w:cs="Arial"/>
                <w:sz w:val="20"/>
                <w:szCs w:val="20"/>
              </w:rPr>
              <w:t>5-year target is £11.25m covering 150 investments (July 2019 - June 2024)</w:t>
            </w:r>
          </w:p>
        </w:tc>
      </w:tr>
      <w:tr w:rsidR="00176ACB" w14:paraId="2C98A36F" w14:textId="77777777" w:rsidTr="00170D99">
        <w:trPr>
          <w:trHeight w:val="926"/>
        </w:trPr>
        <w:tc>
          <w:tcPr>
            <w:tcW w:w="1545" w:type="dxa"/>
            <w:tcBorders>
              <w:top w:val="single" w:sz="8" w:space="0" w:color="auto"/>
              <w:left w:val="single" w:sz="4" w:space="0" w:color="auto"/>
              <w:bottom w:val="single" w:sz="4" w:space="0" w:color="auto"/>
              <w:right w:val="single" w:sz="4" w:space="0" w:color="auto"/>
            </w:tcBorders>
            <w:hideMark/>
          </w:tcPr>
          <w:p w14:paraId="7EC2040F" w14:textId="77777777" w:rsidR="00794DD3" w:rsidRPr="00FA30B2" w:rsidRDefault="006219DA" w:rsidP="00AB6544">
            <w:pPr>
              <w:pStyle w:val="NoSpacing"/>
              <w:rPr>
                <w:rFonts w:ascii="Arial" w:hAnsi="Arial" w:cs="Arial"/>
                <w:sz w:val="20"/>
                <w:szCs w:val="20"/>
              </w:rPr>
            </w:pPr>
            <w:r w:rsidRPr="62385CB5">
              <w:rPr>
                <w:rFonts w:ascii="Arial" w:hAnsi="Arial" w:cs="Arial"/>
                <w:sz w:val="20"/>
                <w:szCs w:val="20"/>
              </w:rPr>
              <w:t>Number of jobs created by Boost</w:t>
            </w:r>
          </w:p>
        </w:tc>
        <w:tc>
          <w:tcPr>
            <w:tcW w:w="1245" w:type="dxa"/>
            <w:tcBorders>
              <w:top w:val="single" w:sz="8" w:space="0" w:color="auto"/>
              <w:left w:val="single" w:sz="4" w:space="0" w:color="auto"/>
              <w:bottom w:val="single" w:sz="4" w:space="0" w:color="auto"/>
              <w:right w:val="single" w:sz="4" w:space="0" w:color="auto"/>
            </w:tcBorders>
            <w:hideMark/>
          </w:tcPr>
          <w:p w14:paraId="43BD6D1E" w14:textId="11EDC10B" w:rsidR="00794DD3" w:rsidRPr="00FA30B2" w:rsidRDefault="006219DA" w:rsidP="0D5360B6">
            <w:pPr>
              <w:pStyle w:val="NoSpacing"/>
              <w:rPr>
                <w:rFonts w:ascii="Arial" w:hAnsi="Arial" w:cs="Arial"/>
                <w:sz w:val="20"/>
                <w:szCs w:val="20"/>
              </w:rPr>
            </w:pPr>
            <w:r w:rsidRPr="0D5360B6">
              <w:rPr>
                <w:rFonts w:ascii="Arial" w:hAnsi="Arial" w:cs="Arial"/>
                <w:sz w:val="20"/>
                <w:szCs w:val="20"/>
              </w:rPr>
              <w:t>Quarterly</w:t>
            </w:r>
          </w:p>
          <w:p w14:paraId="7422A8EF" w14:textId="32C0DC7B" w:rsidR="00794DD3" w:rsidRPr="00FA30B2" w:rsidRDefault="00794DD3" w:rsidP="0D5360B6">
            <w:pPr>
              <w:pStyle w:val="NoSpacing"/>
              <w:rPr>
                <w:sz w:val="20"/>
                <w:szCs w:val="20"/>
              </w:rPr>
            </w:pPr>
          </w:p>
        </w:tc>
        <w:tc>
          <w:tcPr>
            <w:tcW w:w="1380" w:type="dxa"/>
            <w:tcBorders>
              <w:top w:val="single" w:sz="8" w:space="0" w:color="auto"/>
              <w:left w:val="single" w:sz="4" w:space="0" w:color="auto"/>
              <w:bottom w:val="single" w:sz="4" w:space="0" w:color="auto"/>
              <w:right w:val="single" w:sz="4" w:space="0" w:color="auto"/>
            </w:tcBorders>
          </w:tcPr>
          <w:p w14:paraId="70B7D1D5" w14:textId="77777777" w:rsidR="00794DD3" w:rsidRPr="00FA30B2" w:rsidRDefault="006219DA" w:rsidP="00AB6544">
            <w:pPr>
              <w:pStyle w:val="NoSpacing"/>
              <w:rPr>
                <w:rFonts w:ascii="Arial" w:hAnsi="Arial" w:cs="Arial"/>
                <w:sz w:val="20"/>
                <w:szCs w:val="20"/>
              </w:rPr>
            </w:pPr>
            <w:r w:rsidRPr="62385CB5">
              <w:rPr>
                <w:rFonts w:ascii="Arial" w:hAnsi="Arial" w:cs="Arial"/>
                <w:sz w:val="20"/>
                <w:szCs w:val="20"/>
              </w:rPr>
              <w:t>Growth, Environment &amp; Transport</w:t>
            </w:r>
          </w:p>
        </w:tc>
        <w:tc>
          <w:tcPr>
            <w:tcW w:w="780" w:type="dxa"/>
            <w:tcBorders>
              <w:top w:val="single" w:sz="8" w:space="0" w:color="auto"/>
              <w:left w:val="single" w:sz="4" w:space="0" w:color="auto"/>
              <w:bottom w:val="single" w:sz="4" w:space="0" w:color="auto"/>
              <w:right w:val="single" w:sz="4" w:space="0" w:color="auto"/>
            </w:tcBorders>
          </w:tcPr>
          <w:p w14:paraId="56F9BFB4" w14:textId="77777777" w:rsidR="00794DD3" w:rsidRDefault="00794DD3" w:rsidP="00AB6544">
            <w:pPr>
              <w:pStyle w:val="NoSpacing"/>
              <w:rPr>
                <w:rFonts w:ascii="Arial" w:hAnsi="Arial" w:cs="Arial"/>
                <w:sz w:val="20"/>
                <w:szCs w:val="20"/>
              </w:rPr>
            </w:pPr>
          </w:p>
          <w:p w14:paraId="463C48D0" w14:textId="77777777" w:rsidR="00794DD3" w:rsidRPr="00FA30B2" w:rsidRDefault="006219DA" w:rsidP="00AB6544">
            <w:pPr>
              <w:pStyle w:val="NoSpacing"/>
              <w:rPr>
                <w:rFonts w:ascii="Arial" w:hAnsi="Arial" w:cs="Arial"/>
                <w:sz w:val="20"/>
                <w:szCs w:val="20"/>
              </w:rPr>
            </w:pPr>
            <w:r w:rsidRPr="62385CB5">
              <w:rPr>
                <w:rFonts w:ascii="Arial" w:hAnsi="Arial" w:cs="Arial"/>
                <w:sz w:val="20"/>
                <w:szCs w:val="20"/>
              </w:rPr>
              <w:t>On target</w:t>
            </w:r>
          </w:p>
        </w:tc>
        <w:tc>
          <w:tcPr>
            <w:tcW w:w="1365" w:type="dxa"/>
            <w:tcBorders>
              <w:top w:val="single" w:sz="8" w:space="0" w:color="auto"/>
              <w:left w:val="nil"/>
              <w:bottom w:val="single" w:sz="4" w:space="0" w:color="auto"/>
              <w:right w:val="single" w:sz="8" w:space="0" w:color="auto"/>
            </w:tcBorders>
            <w:shd w:val="clear" w:color="auto" w:fill="C5E0B3" w:themeFill="accent6" w:themeFillTint="66"/>
          </w:tcPr>
          <w:p w14:paraId="11C22709" w14:textId="77777777" w:rsidR="00794DD3" w:rsidRPr="00A96B3C" w:rsidRDefault="006219DA" w:rsidP="00AB6544">
            <w:pPr>
              <w:pStyle w:val="NoSpacing"/>
              <w:shd w:val="clear" w:color="auto" w:fill="C5E0B3" w:themeFill="accent6" w:themeFillTint="66"/>
              <w:jc w:val="center"/>
              <w:rPr>
                <w:rFonts w:ascii="Arial" w:hAnsi="Arial" w:cs="Arial"/>
                <w:sz w:val="20"/>
                <w:szCs w:val="20"/>
              </w:rPr>
            </w:pPr>
            <w:r w:rsidRPr="62385CB5">
              <w:rPr>
                <w:rFonts w:ascii="Arial" w:hAnsi="Arial" w:cs="Arial"/>
                <w:sz w:val="20"/>
                <w:szCs w:val="20"/>
              </w:rPr>
              <w:t>242.22</w:t>
            </w:r>
          </w:p>
          <w:p w14:paraId="60604515" w14:textId="77777777" w:rsidR="00794DD3" w:rsidRPr="00A96B3C" w:rsidRDefault="006219DA" w:rsidP="00AB6544">
            <w:pPr>
              <w:pStyle w:val="NoSpacing"/>
              <w:jc w:val="center"/>
              <w:rPr>
                <w:rFonts w:ascii="Arial" w:hAnsi="Arial" w:cs="Arial"/>
                <w:sz w:val="20"/>
                <w:szCs w:val="20"/>
              </w:rPr>
            </w:pPr>
            <w:r w:rsidRPr="62385CB5">
              <w:rPr>
                <w:rFonts w:ascii="Arial" w:hAnsi="Arial" w:cs="Arial"/>
                <w:sz w:val="20"/>
                <w:szCs w:val="20"/>
              </w:rPr>
              <w:t>Target 110</w:t>
            </w:r>
          </w:p>
        </w:tc>
        <w:tc>
          <w:tcPr>
            <w:tcW w:w="1340" w:type="dxa"/>
            <w:tcBorders>
              <w:top w:val="single" w:sz="8" w:space="0" w:color="auto"/>
              <w:left w:val="single" w:sz="4" w:space="0" w:color="auto"/>
              <w:bottom w:val="single" w:sz="4" w:space="0" w:color="auto"/>
              <w:right w:val="single" w:sz="4" w:space="0" w:color="auto"/>
            </w:tcBorders>
            <w:shd w:val="clear" w:color="auto" w:fill="FF0000"/>
          </w:tcPr>
          <w:p w14:paraId="68471509" w14:textId="77777777" w:rsidR="00794DD3" w:rsidRPr="00FA30B2" w:rsidRDefault="006219DA" w:rsidP="00AB6544">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80.93 Target 100</w:t>
            </w:r>
          </w:p>
        </w:tc>
        <w:tc>
          <w:tcPr>
            <w:tcW w:w="1255" w:type="dxa"/>
            <w:tcBorders>
              <w:top w:val="single" w:sz="8" w:space="0" w:color="auto"/>
              <w:left w:val="single" w:sz="4" w:space="0" w:color="auto"/>
              <w:bottom w:val="single" w:sz="4" w:space="0" w:color="auto"/>
              <w:right w:val="single" w:sz="4" w:space="0" w:color="auto"/>
            </w:tcBorders>
            <w:shd w:val="clear" w:color="auto" w:fill="FF0000"/>
          </w:tcPr>
          <w:p w14:paraId="09FEF561" w14:textId="77777777" w:rsidR="00794DD3" w:rsidRPr="00FA30B2" w:rsidRDefault="006219DA" w:rsidP="00AB6544">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42.05 Target 100</w:t>
            </w:r>
          </w:p>
        </w:tc>
        <w:tc>
          <w:tcPr>
            <w:tcW w:w="1438" w:type="dxa"/>
            <w:tcBorders>
              <w:top w:val="single" w:sz="8" w:space="0" w:color="auto"/>
              <w:left w:val="single" w:sz="4" w:space="0" w:color="auto"/>
              <w:bottom w:val="single" w:sz="4" w:space="0" w:color="auto"/>
              <w:right w:val="single" w:sz="4" w:space="0" w:color="auto"/>
            </w:tcBorders>
            <w:shd w:val="clear" w:color="auto" w:fill="C5E0B3" w:themeFill="accent6" w:themeFillTint="66"/>
          </w:tcPr>
          <w:p w14:paraId="15184E6D" w14:textId="77777777" w:rsidR="00794DD3" w:rsidRDefault="006219DA" w:rsidP="00AB6544">
            <w:pPr>
              <w:pStyle w:val="NoSpacing"/>
              <w:jc w:val="center"/>
              <w:rPr>
                <w:rFonts w:ascii="Arial" w:hAnsi="Arial" w:cs="Arial"/>
                <w:sz w:val="20"/>
                <w:szCs w:val="20"/>
              </w:rPr>
            </w:pPr>
            <w:r w:rsidRPr="62385CB5">
              <w:rPr>
                <w:rFonts w:ascii="Arial" w:hAnsi="Arial" w:cs="Arial"/>
                <w:sz w:val="20"/>
                <w:szCs w:val="20"/>
              </w:rPr>
              <w:t>128.33</w:t>
            </w:r>
          </w:p>
          <w:p w14:paraId="60856A50" w14:textId="77777777" w:rsidR="00794DD3" w:rsidRDefault="006219DA" w:rsidP="00AB6544">
            <w:pPr>
              <w:pStyle w:val="NoSpacing"/>
              <w:jc w:val="center"/>
              <w:rPr>
                <w:rFonts w:ascii="Arial" w:hAnsi="Arial" w:cs="Arial"/>
                <w:sz w:val="20"/>
                <w:szCs w:val="20"/>
              </w:rPr>
            </w:pPr>
            <w:r w:rsidRPr="62385CB5">
              <w:rPr>
                <w:rFonts w:ascii="Arial" w:hAnsi="Arial" w:cs="Arial"/>
                <w:sz w:val="20"/>
                <w:szCs w:val="20"/>
              </w:rPr>
              <w:t>Target 100</w:t>
            </w:r>
          </w:p>
          <w:p w14:paraId="794C5A2C" w14:textId="77777777" w:rsidR="00794DD3" w:rsidRDefault="00794DD3" w:rsidP="00AB6544">
            <w:pPr>
              <w:pStyle w:val="NoSpacing"/>
              <w:jc w:val="center"/>
              <w:rPr>
                <w:rFonts w:ascii="Arial" w:hAnsi="Arial" w:cs="Arial"/>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FF0000"/>
          </w:tcPr>
          <w:p w14:paraId="0F8D783C" w14:textId="4030B18C" w:rsidR="00794DD3" w:rsidRPr="62385CB5" w:rsidRDefault="006219DA" w:rsidP="4E6013FB">
            <w:pPr>
              <w:pStyle w:val="NoSpacing"/>
              <w:jc w:val="center"/>
              <w:rPr>
                <w:rFonts w:ascii="Arial" w:hAnsi="Arial" w:cs="Arial"/>
                <w:color w:val="FFFFFF" w:themeColor="background1"/>
                <w:sz w:val="20"/>
                <w:szCs w:val="20"/>
              </w:rPr>
            </w:pPr>
            <w:r w:rsidRPr="4E6013FB">
              <w:rPr>
                <w:rFonts w:ascii="Arial" w:hAnsi="Arial" w:cs="Arial"/>
                <w:color w:val="FFFFFF" w:themeColor="background1"/>
                <w:sz w:val="20"/>
                <w:szCs w:val="20"/>
              </w:rPr>
              <w:t>50.83</w:t>
            </w:r>
          </w:p>
          <w:p w14:paraId="0BB31A76" w14:textId="0A5EE766" w:rsidR="00794DD3" w:rsidRPr="62385CB5" w:rsidRDefault="006219DA" w:rsidP="4E6013FB">
            <w:pPr>
              <w:pStyle w:val="NoSpacing"/>
              <w:jc w:val="center"/>
              <w:rPr>
                <w:rFonts w:ascii="Arial" w:hAnsi="Arial" w:cs="Arial"/>
                <w:sz w:val="20"/>
                <w:szCs w:val="20"/>
              </w:rPr>
            </w:pPr>
            <w:r w:rsidRPr="4E6013FB">
              <w:rPr>
                <w:rFonts w:ascii="Arial" w:hAnsi="Arial" w:cs="Arial"/>
                <w:color w:val="FFFFFF" w:themeColor="background1"/>
                <w:sz w:val="20"/>
                <w:szCs w:val="20"/>
              </w:rPr>
              <w:t>Target 100</w:t>
            </w:r>
          </w:p>
          <w:p w14:paraId="012C4565" w14:textId="1682ED68" w:rsidR="00794DD3" w:rsidRPr="62385CB5" w:rsidRDefault="00794DD3" w:rsidP="4E6013FB">
            <w:pPr>
              <w:pStyle w:val="NoSpacing"/>
              <w:jc w:val="center"/>
              <w:rPr>
                <w:sz w:val="20"/>
                <w:szCs w:val="20"/>
              </w:rPr>
            </w:pPr>
          </w:p>
        </w:tc>
        <w:tc>
          <w:tcPr>
            <w:tcW w:w="2268" w:type="dxa"/>
            <w:tcBorders>
              <w:top w:val="single" w:sz="8" w:space="0" w:color="auto"/>
              <w:left w:val="single" w:sz="4" w:space="0" w:color="auto"/>
              <w:bottom w:val="single" w:sz="4" w:space="0" w:color="auto"/>
              <w:right w:val="single" w:sz="4" w:space="0" w:color="auto"/>
            </w:tcBorders>
          </w:tcPr>
          <w:p w14:paraId="1A6EED77" w14:textId="77777777" w:rsidR="00794DD3" w:rsidRPr="00FA30B2" w:rsidRDefault="006219DA" w:rsidP="00AB6544">
            <w:pPr>
              <w:pStyle w:val="NoSpacing"/>
              <w:jc w:val="center"/>
              <w:rPr>
                <w:rFonts w:ascii="Arial" w:hAnsi="Arial" w:cs="Arial"/>
                <w:sz w:val="20"/>
                <w:szCs w:val="20"/>
              </w:rPr>
            </w:pPr>
            <w:r w:rsidRPr="62385CB5">
              <w:rPr>
                <w:rFonts w:ascii="Arial" w:hAnsi="Arial" w:cs="Arial"/>
                <w:sz w:val="20"/>
                <w:szCs w:val="20"/>
              </w:rPr>
              <w:t>1,000 jobs target (Jan 2019 - Dec 2022)</w:t>
            </w:r>
          </w:p>
        </w:tc>
      </w:tr>
      <w:tr w:rsidR="00176ACB" w14:paraId="64986E45" w14:textId="77777777" w:rsidTr="00170D99">
        <w:trPr>
          <w:trHeight w:val="1178"/>
        </w:trPr>
        <w:tc>
          <w:tcPr>
            <w:tcW w:w="1545" w:type="dxa"/>
            <w:tcBorders>
              <w:top w:val="single" w:sz="4" w:space="0" w:color="auto"/>
              <w:left w:val="single" w:sz="4" w:space="0" w:color="auto"/>
              <w:bottom w:val="single" w:sz="4" w:space="0" w:color="auto"/>
              <w:right w:val="single" w:sz="4" w:space="0" w:color="auto"/>
            </w:tcBorders>
            <w:hideMark/>
          </w:tcPr>
          <w:p w14:paraId="76C296F3" w14:textId="77777777" w:rsidR="00794DD3" w:rsidRPr="00FA30B2" w:rsidRDefault="006219DA" w:rsidP="00AB6544">
            <w:pPr>
              <w:pStyle w:val="NoSpacing"/>
              <w:rPr>
                <w:rFonts w:ascii="Arial" w:hAnsi="Arial" w:cs="Arial"/>
                <w:sz w:val="20"/>
                <w:szCs w:val="20"/>
              </w:rPr>
            </w:pPr>
            <w:r w:rsidRPr="62385CB5">
              <w:rPr>
                <w:rFonts w:ascii="Arial" w:hAnsi="Arial" w:cs="Arial"/>
                <w:sz w:val="20"/>
                <w:szCs w:val="20"/>
              </w:rPr>
              <w:t>New businesses established by Boost</w:t>
            </w:r>
          </w:p>
        </w:tc>
        <w:tc>
          <w:tcPr>
            <w:tcW w:w="1245" w:type="dxa"/>
            <w:tcBorders>
              <w:top w:val="single" w:sz="4" w:space="0" w:color="auto"/>
              <w:left w:val="single" w:sz="4" w:space="0" w:color="auto"/>
              <w:bottom w:val="single" w:sz="4" w:space="0" w:color="auto"/>
              <w:right w:val="single" w:sz="4" w:space="0" w:color="auto"/>
            </w:tcBorders>
            <w:hideMark/>
          </w:tcPr>
          <w:p w14:paraId="496638E3" w14:textId="11EDC10B" w:rsidR="00794DD3" w:rsidRPr="00FA30B2" w:rsidRDefault="006219DA" w:rsidP="0D5360B6">
            <w:pPr>
              <w:pStyle w:val="NoSpacing"/>
              <w:rPr>
                <w:rFonts w:ascii="Arial" w:hAnsi="Arial" w:cs="Arial"/>
                <w:sz w:val="20"/>
                <w:szCs w:val="20"/>
              </w:rPr>
            </w:pPr>
            <w:r w:rsidRPr="0D5360B6">
              <w:rPr>
                <w:rFonts w:ascii="Arial" w:hAnsi="Arial" w:cs="Arial"/>
                <w:sz w:val="20"/>
                <w:szCs w:val="20"/>
              </w:rPr>
              <w:t>Quarterly</w:t>
            </w:r>
          </w:p>
          <w:p w14:paraId="2225E49F" w14:textId="68A6DB91" w:rsidR="00794DD3" w:rsidRPr="00FA30B2" w:rsidRDefault="00794DD3" w:rsidP="0D5360B6">
            <w:pPr>
              <w:pStyle w:val="NoSpacing"/>
              <w:rPr>
                <w:sz w:val="20"/>
                <w:szCs w:val="20"/>
              </w:rPr>
            </w:pPr>
          </w:p>
        </w:tc>
        <w:tc>
          <w:tcPr>
            <w:tcW w:w="1380" w:type="dxa"/>
            <w:tcBorders>
              <w:top w:val="single" w:sz="4" w:space="0" w:color="auto"/>
              <w:left w:val="single" w:sz="4" w:space="0" w:color="auto"/>
              <w:bottom w:val="single" w:sz="4" w:space="0" w:color="auto"/>
              <w:right w:val="single" w:sz="4" w:space="0" w:color="auto"/>
            </w:tcBorders>
          </w:tcPr>
          <w:p w14:paraId="22C07F0E" w14:textId="77777777" w:rsidR="00794DD3" w:rsidRPr="00FA30B2" w:rsidRDefault="006219DA" w:rsidP="00AB6544">
            <w:pPr>
              <w:pStyle w:val="NoSpacing"/>
              <w:rPr>
                <w:rFonts w:ascii="Arial" w:hAnsi="Arial" w:cs="Arial"/>
                <w:sz w:val="20"/>
                <w:szCs w:val="20"/>
              </w:rPr>
            </w:pPr>
            <w:r w:rsidRPr="62385CB5">
              <w:rPr>
                <w:rFonts w:ascii="Arial" w:hAnsi="Arial" w:cs="Arial"/>
                <w:sz w:val="20"/>
                <w:szCs w:val="20"/>
              </w:rPr>
              <w:t>Growth, Environment &amp; Transport</w:t>
            </w:r>
          </w:p>
        </w:tc>
        <w:tc>
          <w:tcPr>
            <w:tcW w:w="780" w:type="dxa"/>
            <w:tcBorders>
              <w:top w:val="single" w:sz="4" w:space="0" w:color="auto"/>
              <w:left w:val="single" w:sz="4" w:space="0" w:color="auto"/>
              <w:bottom w:val="single" w:sz="4" w:space="0" w:color="auto"/>
              <w:right w:val="single" w:sz="4" w:space="0" w:color="auto"/>
            </w:tcBorders>
          </w:tcPr>
          <w:p w14:paraId="4DD70704" w14:textId="77777777" w:rsidR="00794DD3" w:rsidRDefault="00794DD3" w:rsidP="00AB6544">
            <w:pPr>
              <w:pStyle w:val="NoSpacing"/>
              <w:rPr>
                <w:rFonts w:ascii="Arial" w:hAnsi="Arial" w:cs="Arial"/>
                <w:sz w:val="20"/>
                <w:szCs w:val="20"/>
              </w:rPr>
            </w:pPr>
          </w:p>
          <w:p w14:paraId="4D34F081" w14:textId="77777777" w:rsidR="00794DD3" w:rsidRPr="00FA30B2" w:rsidRDefault="006219DA" w:rsidP="00AB6544">
            <w:pPr>
              <w:pStyle w:val="NoSpacing"/>
              <w:rPr>
                <w:rFonts w:ascii="Arial" w:hAnsi="Arial" w:cs="Arial"/>
                <w:sz w:val="20"/>
                <w:szCs w:val="20"/>
              </w:rPr>
            </w:pPr>
            <w:r w:rsidRPr="62385CB5">
              <w:rPr>
                <w:rFonts w:ascii="Arial" w:hAnsi="Arial" w:cs="Arial"/>
                <w:sz w:val="20"/>
                <w:szCs w:val="20"/>
              </w:rPr>
              <w:t>On target</w:t>
            </w:r>
          </w:p>
        </w:tc>
        <w:tc>
          <w:tcPr>
            <w:tcW w:w="1365" w:type="dxa"/>
            <w:tcBorders>
              <w:top w:val="single" w:sz="4" w:space="0" w:color="auto"/>
              <w:left w:val="nil"/>
              <w:bottom w:val="single" w:sz="8" w:space="0" w:color="auto"/>
              <w:right w:val="single" w:sz="8" w:space="0" w:color="auto"/>
            </w:tcBorders>
            <w:shd w:val="clear" w:color="auto" w:fill="C5E0B3" w:themeFill="accent6" w:themeFillTint="66"/>
          </w:tcPr>
          <w:p w14:paraId="02FB6CB8" w14:textId="77777777" w:rsidR="00794DD3" w:rsidRPr="00A96B3C" w:rsidRDefault="006219DA" w:rsidP="00AB6544">
            <w:pPr>
              <w:pStyle w:val="NoSpacing"/>
              <w:jc w:val="center"/>
              <w:rPr>
                <w:rFonts w:ascii="Arial" w:hAnsi="Arial" w:cs="Arial"/>
                <w:sz w:val="20"/>
                <w:szCs w:val="20"/>
              </w:rPr>
            </w:pPr>
            <w:r w:rsidRPr="62385CB5">
              <w:rPr>
                <w:rFonts w:ascii="Arial" w:hAnsi="Arial" w:cs="Arial"/>
                <w:sz w:val="20"/>
                <w:szCs w:val="20"/>
              </w:rPr>
              <w:t>25 new businesses</w:t>
            </w:r>
          </w:p>
          <w:p w14:paraId="028678E2" w14:textId="77777777" w:rsidR="00794DD3" w:rsidRPr="00A96B3C" w:rsidRDefault="006219DA" w:rsidP="00AB6544">
            <w:pPr>
              <w:pStyle w:val="NoSpacing"/>
              <w:jc w:val="center"/>
              <w:rPr>
                <w:rFonts w:ascii="Arial" w:hAnsi="Arial" w:cs="Arial"/>
                <w:sz w:val="20"/>
                <w:szCs w:val="20"/>
              </w:rPr>
            </w:pPr>
            <w:r w:rsidRPr="62385CB5">
              <w:rPr>
                <w:rFonts w:ascii="Arial" w:hAnsi="Arial" w:cs="Arial"/>
                <w:sz w:val="20"/>
                <w:szCs w:val="20"/>
              </w:rPr>
              <w:t>Target 25</w:t>
            </w:r>
          </w:p>
        </w:tc>
        <w:tc>
          <w:tcPr>
            <w:tcW w:w="13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BD825C1" w14:textId="77777777" w:rsidR="00794DD3" w:rsidRPr="00FA30B2" w:rsidRDefault="006219DA" w:rsidP="00AB6544">
            <w:pPr>
              <w:pStyle w:val="NoSpacing"/>
              <w:jc w:val="center"/>
              <w:rPr>
                <w:rFonts w:ascii="Arial" w:hAnsi="Arial" w:cs="Arial"/>
                <w:sz w:val="20"/>
                <w:szCs w:val="20"/>
              </w:rPr>
            </w:pPr>
            <w:r w:rsidRPr="62385CB5">
              <w:rPr>
                <w:rFonts w:ascii="Arial" w:hAnsi="Arial" w:cs="Arial"/>
                <w:sz w:val="20"/>
                <w:szCs w:val="20"/>
              </w:rPr>
              <w:t>26 new businesses Target 20</w:t>
            </w:r>
          </w:p>
        </w:tc>
        <w:tc>
          <w:tcPr>
            <w:tcW w:w="125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2D6208" w14:textId="77777777" w:rsidR="00794DD3" w:rsidRPr="00A27737" w:rsidRDefault="006219DA" w:rsidP="00AB6544">
            <w:pPr>
              <w:pStyle w:val="NoSpacing"/>
              <w:jc w:val="center"/>
              <w:rPr>
                <w:rFonts w:ascii="Arial" w:hAnsi="Arial" w:cs="Arial"/>
                <w:sz w:val="20"/>
                <w:szCs w:val="20"/>
              </w:rPr>
            </w:pPr>
            <w:r w:rsidRPr="62385CB5">
              <w:rPr>
                <w:rFonts w:ascii="Arial" w:hAnsi="Arial" w:cs="Arial"/>
                <w:color w:val="000000" w:themeColor="text1"/>
                <w:sz w:val="20"/>
                <w:szCs w:val="20"/>
                <w:lang w:eastAsia="en-GB"/>
              </w:rPr>
              <w:t>40 new businesses Target 10</w:t>
            </w:r>
          </w:p>
        </w:tc>
        <w:tc>
          <w:tcPr>
            <w:tcW w:w="143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16A819" w14:textId="77777777" w:rsidR="00794DD3" w:rsidRDefault="006219DA" w:rsidP="00AB6544">
            <w:pPr>
              <w:pStyle w:val="NoSpacing"/>
              <w:jc w:val="center"/>
              <w:rPr>
                <w:rFonts w:ascii="Arial" w:hAnsi="Arial" w:cs="Arial"/>
                <w:sz w:val="20"/>
                <w:szCs w:val="20"/>
              </w:rPr>
            </w:pPr>
            <w:r w:rsidRPr="62385CB5">
              <w:rPr>
                <w:rFonts w:ascii="Arial" w:hAnsi="Arial" w:cs="Arial"/>
                <w:sz w:val="20"/>
                <w:szCs w:val="20"/>
              </w:rPr>
              <w:t>54 new businesses</w:t>
            </w:r>
          </w:p>
          <w:p w14:paraId="663B7CBB" w14:textId="77777777" w:rsidR="00794DD3" w:rsidRDefault="006219DA" w:rsidP="00AB6544">
            <w:pPr>
              <w:pStyle w:val="NoSpacing"/>
              <w:jc w:val="center"/>
              <w:rPr>
                <w:rFonts w:ascii="Arial" w:hAnsi="Arial" w:cs="Arial"/>
                <w:sz w:val="20"/>
                <w:szCs w:val="20"/>
              </w:rPr>
            </w:pPr>
            <w:r w:rsidRPr="62385CB5">
              <w:rPr>
                <w:rFonts w:ascii="Arial" w:hAnsi="Arial" w:cs="Arial"/>
                <w:sz w:val="20"/>
                <w:szCs w:val="20"/>
              </w:rPr>
              <w:t>Target 5</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481398" w14:textId="72855360" w:rsidR="00794DD3" w:rsidRPr="62385CB5" w:rsidRDefault="006219DA" w:rsidP="4E6013FB">
            <w:pPr>
              <w:pStyle w:val="NoSpacing"/>
              <w:jc w:val="center"/>
              <w:rPr>
                <w:rFonts w:ascii="Arial" w:hAnsi="Arial" w:cs="Arial"/>
                <w:sz w:val="20"/>
                <w:szCs w:val="20"/>
              </w:rPr>
            </w:pPr>
            <w:r w:rsidRPr="4E6013FB">
              <w:rPr>
                <w:rFonts w:ascii="Arial" w:hAnsi="Arial" w:cs="Arial"/>
                <w:sz w:val="20"/>
                <w:szCs w:val="20"/>
              </w:rPr>
              <w:t>38 new businesses</w:t>
            </w:r>
          </w:p>
          <w:p w14:paraId="7B0C9DB7" w14:textId="3AE5D6DE" w:rsidR="00794DD3" w:rsidRPr="62385CB5" w:rsidRDefault="006219DA" w:rsidP="4E6013FB">
            <w:pPr>
              <w:pStyle w:val="NoSpacing"/>
              <w:jc w:val="center"/>
              <w:rPr>
                <w:rFonts w:ascii="Arial" w:hAnsi="Arial" w:cs="Arial"/>
                <w:sz w:val="20"/>
                <w:szCs w:val="20"/>
              </w:rPr>
            </w:pPr>
            <w:r w:rsidRPr="4E6013FB">
              <w:rPr>
                <w:rFonts w:ascii="Arial" w:hAnsi="Arial" w:cs="Arial"/>
                <w:sz w:val="20"/>
                <w:szCs w:val="20"/>
              </w:rPr>
              <w:t>Target 5</w:t>
            </w:r>
          </w:p>
          <w:p w14:paraId="132CEDE0" w14:textId="7C9512E3" w:rsidR="00794DD3" w:rsidRPr="62385CB5" w:rsidRDefault="00794DD3" w:rsidP="4E6013FB">
            <w:pPr>
              <w:pStyle w:val="NoSpacing"/>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DAE58FB" w14:textId="77777777" w:rsidR="00794DD3" w:rsidRPr="00FA30B2" w:rsidRDefault="006219DA" w:rsidP="00AB6544">
            <w:pPr>
              <w:pStyle w:val="NoSpacing"/>
              <w:jc w:val="center"/>
              <w:rPr>
                <w:rFonts w:ascii="Arial" w:hAnsi="Arial" w:cs="Arial"/>
                <w:sz w:val="20"/>
                <w:szCs w:val="20"/>
              </w:rPr>
            </w:pPr>
            <w:r w:rsidRPr="62385CB5">
              <w:rPr>
                <w:rFonts w:ascii="Arial" w:hAnsi="Arial" w:cs="Arial"/>
                <w:sz w:val="20"/>
                <w:szCs w:val="20"/>
              </w:rPr>
              <w:t>200 new businesses Jan 2019 - Dec 2022</w:t>
            </w:r>
          </w:p>
        </w:tc>
      </w:tr>
    </w:tbl>
    <w:p w14:paraId="4A98DC12" w14:textId="77777777" w:rsidR="001453A9" w:rsidRDefault="001453A9" w:rsidP="4E6013FB">
      <w:pPr>
        <w:rPr>
          <w:rFonts w:eastAsia="Arial" w:cs="Arial"/>
          <w:b/>
          <w:bCs/>
          <w:color w:val="000000" w:themeColor="text1"/>
          <w:sz w:val="22"/>
          <w:szCs w:val="22"/>
        </w:rPr>
      </w:pPr>
    </w:p>
    <w:p w14:paraId="0119CC8E" w14:textId="742A6200" w:rsidR="00794DD3" w:rsidRPr="00FF6190" w:rsidRDefault="006219DA" w:rsidP="4E6013FB">
      <w:r w:rsidRPr="00FF6190">
        <w:rPr>
          <w:rFonts w:eastAsia="Arial" w:cs="Arial"/>
          <w:b/>
          <w:bCs/>
          <w:color w:val="000000" w:themeColor="text1"/>
        </w:rPr>
        <w:t>Rosebud</w:t>
      </w:r>
      <w:r w:rsidR="001453A9" w:rsidRPr="00FF6190">
        <w:rPr>
          <w:rFonts w:eastAsia="Arial" w:cs="Arial"/>
          <w:b/>
          <w:bCs/>
          <w:color w:val="000000" w:themeColor="text1"/>
        </w:rPr>
        <w:t xml:space="preserve">. </w:t>
      </w:r>
      <w:r w:rsidR="3A4E38ED" w:rsidRPr="00FF6190">
        <w:rPr>
          <w:rFonts w:eastAsia="Arial" w:cs="Arial"/>
          <w:b/>
          <w:bCs/>
          <w:color w:val="000000" w:themeColor="text1"/>
        </w:rPr>
        <w:t xml:space="preserve"> </w:t>
      </w:r>
      <w:r w:rsidR="5AFBC654" w:rsidRPr="00FF6190">
        <w:rPr>
          <w:rFonts w:eastAsia="Arial" w:cs="Arial"/>
          <w:color w:val="000000" w:themeColor="text1"/>
        </w:rPr>
        <w:t xml:space="preserve">Appetite for term debt products remains low with businesses still sitting on healthy cash balances following government backed </w:t>
      </w:r>
      <w:r w:rsidR="001453A9" w:rsidRPr="00FF6190">
        <w:rPr>
          <w:rFonts w:eastAsia="Arial" w:cs="Arial"/>
          <w:color w:val="000000" w:themeColor="text1"/>
        </w:rPr>
        <w:t>C</w:t>
      </w:r>
      <w:r w:rsidR="5AFBC654" w:rsidRPr="00FF6190">
        <w:rPr>
          <w:rFonts w:eastAsia="Arial" w:cs="Arial"/>
          <w:color w:val="000000" w:themeColor="text1"/>
        </w:rPr>
        <w:t xml:space="preserve">ovid loans schemes. Pipeline is low as expected and deal flow is harder to gather. </w:t>
      </w:r>
      <w:r w:rsidR="00C96648" w:rsidRPr="00FF6190">
        <w:rPr>
          <w:rFonts w:eastAsia="Arial" w:cs="Arial"/>
          <w:color w:val="000000" w:themeColor="text1"/>
        </w:rPr>
        <w:t>This will be</w:t>
      </w:r>
      <w:r w:rsidR="5AFBC654" w:rsidRPr="00FF6190">
        <w:rPr>
          <w:rFonts w:eastAsia="Arial" w:cs="Arial"/>
          <w:color w:val="000000" w:themeColor="text1"/>
        </w:rPr>
        <w:t xml:space="preserve"> another challenging quarter but hopefully some positive developments in the marketplace </w:t>
      </w:r>
      <w:r w:rsidR="001453A9" w:rsidRPr="00FF6190">
        <w:rPr>
          <w:rFonts w:eastAsia="Arial" w:cs="Arial"/>
          <w:color w:val="000000" w:themeColor="text1"/>
        </w:rPr>
        <w:t xml:space="preserve">will </w:t>
      </w:r>
      <w:r w:rsidR="5AFBC654" w:rsidRPr="00FF6190">
        <w:rPr>
          <w:rFonts w:eastAsia="Arial" w:cs="Arial"/>
          <w:color w:val="000000" w:themeColor="text1"/>
        </w:rPr>
        <w:t xml:space="preserve">come </w:t>
      </w:r>
      <w:r w:rsidR="001453A9" w:rsidRPr="00FF6190">
        <w:rPr>
          <w:rFonts w:eastAsia="Arial" w:cs="Arial"/>
          <w:color w:val="000000" w:themeColor="text1"/>
        </w:rPr>
        <w:t xml:space="preserve">in </w:t>
      </w:r>
      <w:r w:rsidR="5AFBC654" w:rsidRPr="00FF6190">
        <w:rPr>
          <w:rFonts w:eastAsia="Arial" w:cs="Arial"/>
          <w:color w:val="000000" w:themeColor="text1"/>
        </w:rPr>
        <w:t>early 2022.</w:t>
      </w:r>
    </w:p>
    <w:p w14:paraId="7B628FE8" w14:textId="7BFCA44D" w:rsidR="00794DD3" w:rsidRPr="008E7D8D" w:rsidRDefault="006219DA" w:rsidP="001453A9">
      <w:pPr>
        <w:rPr>
          <w:rFonts w:eastAsia="Arial" w:cs="Arial"/>
          <w:b/>
          <w:bCs/>
          <w:color w:val="000000" w:themeColor="text1"/>
        </w:rPr>
      </w:pPr>
      <w:r w:rsidRPr="008E7D8D">
        <w:rPr>
          <w:rFonts w:eastAsia="Arial" w:cs="Arial"/>
          <w:b/>
          <w:bCs/>
          <w:color w:val="000000" w:themeColor="text1"/>
        </w:rPr>
        <w:lastRenderedPageBreak/>
        <w:t>Boost</w:t>
      </w:r>
      <w:r w:rsidRPr="008E7D8D">
        <w:rPr>
          <w:rFonts w:eastAsia="Arial" w:cs="Arial"/>
          <w:color w:val="000000" w:themeColor="text1"/>
        </w:rPr>
        <w:t xml:space="preserve"> </w:t>
      </w:r>
      <w:r w:rsidRPr="008E7D8D">
        <w:rPr>
          <w:rFonts w:eastAsia="Arial" w:cs="Arial"/>
          <w:b/>
          <w:bCs/>
          <w:color w:val="000000" w:themeColor="text1"/>
        </w:rPr>
        <w:t>ERDF Support</w:t>
      </w:r>
      <w:r w:rsidR="001453A9" w:rsidRPr="008E7D8D">
        <w:rPr>
          <w:rFonts w:eastAsia="Arial" w:cs="Arial"/>
          <w:b/>
          <w:bCs/>
          <w:color w:val="000000" w:themeColor="text1"/>
        </w:rPr>
        <w:t>.</w:t>
      </w:r>
      <w:r w:rsidRPr="008E7D8D">
        <w:rPr>
          <w:rFonts w:eastAsia="Arial" w:cs="Arial"/>
          <w:color w:val="000000" w:themeColor="text1"/>
        </w:rPr>
        <w:t xml:space="preserve"> </w:t>
      </w:r>
      <w:r w:rsidR="16B98171" w:rsidRPr="008E7D8D">
        <w:rPr>
          <w:rFonts w:eastAsia="Arial" w:cs="Arial"/>
          <w:color w:val="000000" w:themeColor="text1"/>
        </w:rPr>
        <w:t xml:space="preserve">The Boost European Regional Development Fund (ERDF) core programme is targeted at supporting high growth businesses to achieve their potential. The decrease in outputs over the past year can be attributed to businesses responding to the pandemic, with their focus moving from growth to survival. Boost adapted their service offer to support those businesses through enquiry and advisor provision </w:t>
      </w:r>
    </w:p>
    <w:p w14:paraId="03F1407B" w14:textId="1C5CEFB6" w:rsidR="00794DD3" w:rsidRPr="008E7D8D" w:rsidRDefault="006219DA" w:rsidP="4E6013FB">
      <w:pPr>
        <w:pStyle w:val="ListParagraph"/>
        <w:numPr>
          <w:ilvl w:val="0"/>
          <w:numId w:val="1"/>
        </w:numPr>
        <w:rPr>
          <w:rFonts w:asciiTheme="minorHAnsi" w:eastAsiaTheme="minorEastAsia" w:hAnsiTheme="minorHAnsi" w:cstheme="minorBidi"/>
          <w:color w:val="000000" w:themeColor="text1"/>
        </w:rPr>
      </w:pPr>
      <w:r w:rsidRPr="008E7D8D">
        <w:rPr>
          <w:rFonts w:eastAsia="Arial" w:cs="Arial"/>
          <w:color w:val="000000" w:themeColor="text1"/>
        </w:rPr>
        <w:t xml:space="preserve">Enquiries for the 2020/21 financial year were 2,494 compared with enquiries for 2019/20 1,883. An increase of 611 enquiries received by the Boost Team.  </w:t>
      </w:r>
    </w:p>
    <w:p w14:paraId="1D858653" w14:textId="45A2A805" w:rsidR="00794DD3" w:rsidRPr="008E7D8D" w:rsidRDefault="006219DA" w:rsidP="4E6013FB">
      <w:pPr>
        <w:pStyle w:val="ListParagraph"/>
        <w:numPr>
          <w:ilvl w:val="0"/>
          <w:numId w:val="1"/>
        </w:numPr>
        <w:rPr>
          <w:rFonts w:asciiTheme="minorHAnsi" w:eastAsiaTheme="minorEastAsia" w:hAnsiTheme="minorHAnsi" w:cstheme="minorBidi"/>
          <w:color w:val="000000" w:themeColor="text1"/>
        </w:rPr>
      </w:pPr>
      <w:r w:rsidRPr="008E7D8D">
        <w:rPr>
          <w:rFonts w:eastAsia="Arial" w:cs="Arial"/>
          <w:color w:val="000000" w:themeColor="text1"/>
        </w:rPr>
        <w:t xml:space="preserve">Boost advisors have given over 2,000 hours of business support to over 1,600 businesses needing Covid advice and guidance.  </w:t>
      </w:r>
    </w:p>
    <w:p w14:paraId="15CF8040" w14:textId="6FA1599B" w:rsidR="00794DD3" w:rsidRPr="008E7D8D" w:rsidRDefault="006219DA" w:rsidP="4E6013FB">
      <w:pPr>
        <w:rPr>
          <w:color w:val="000000" w:themeColor="text1"/>
        </w:rPr>
      </w:pPr>
      <w:r w:rsidRPr="008E7D8D">
        <w:rPr>
          <w:rFonts w:eastAsia="Arial" w:cs="Arial"/>
          <w:color w:val="000000" w:themeColor="text1"/>
        </w:rPr>
        <w:t>For July-Sept</w:t>
      </w:r>
      <w:r w:rsidR="00C96648" w:rsidRPr="008E7D8D">
        <w:rPr>
          <w:rFonts w:eastAsia="Arial" w:cs="Arial"/>
          <w:color w:val="000000" w:themeColor="text1"/>
        </w:rPr>
        <w:t>ember</w:t>
      </w:r>
      <w:r w:rsidRPr="008E7D8D">
        <w:rPr>
          <w:rFonts w:eastAsia="Arial" w:cs="Arial"/>
          <w:color w:val="000000" w:themeColor="text1"/>
        </w:rPr>
        <w:t xml:space="preserve"> 21, the outputs have started to recover to pre-pandemic levels however new jobs</w:t>
      </w:r>
      <w:r w:rsidR="007C4794">
        <w:rPr>
          <w:rFonts w:eastAsia="Arial" w:cs="Arial"/>
          <w:color w:val="000000" w:themeColor="text1"/>
        </w:rPr>
        <w:t xml:space="preserve"> created</w:t>
      </w:r>
      <w:r w:rsidRPr="008E7D8D">
        <w:rPr>
          <w:rFonts w:eastAsia="Arial" w:cs="Arial"/>
          <w:color w:val="000000" w:themeColor="text1"/>
        </w:rPr>
        <w:t xml:space="preserve"> is still a challenging area, as it is nationally</w:t>
      </w:r>
      <w:r w:rsidR="001453A9" w:rsidRPr="008E7D8D">
        <w:rPr>
          <w:rFonts w:eastAsia="Arial" w:cs="Arial"/>
          <w:color w:val="000000" w:themeColor="text1"/>
        </w:rPr>
        <w:t>.</w:t>
      </w:r>
    </w:p>
    <w:p w14:paraId="1B9E6AD2" w14:textId="62E71886" w:rsidR="00794DD3" w:rsidRPr="008E7D8D" w:rsidRDefault="006219DA" w:rsidP="4E6013FB">
      <w:pPr>
        <w:rPr>
          <w:rFonts w:eastAsia="Arial" w:cs="Arial"/>
          <w:color w:val="000000" w:themeColor="text1"/>
        </w:rPr>
      </w:pPr>
      <w:r w:rsidRPr="008E7D8D">
        <w:rPr>
          <w:rFonts w:eastAsia="Arial" w:cs="Arial"/>
          <w:b/>
          <w:bCs/>
          <w:color w:val="000000" w:themeColor="text1"/>
        </w:rPr>
        <w:t>Boost Recovery Grants</w:t>
      </w:r>
      <w:r w:rsidR="5D5983F5" w:rsidRPr="008E7D8D">
        <w:rPr>
          <w:rFonts w:eastAsia="Arial" w:cs="Arial"/>
          <w:b/>
          <w:bCs/>
          <w:color w:val="000000" w:themeColor="text1"/>
        </w:rPr>
        <w:t xml:space="preserve"> -</w:t>
      </w:r>
      <w:r w:rsidR="5D5983F5" w:rsidRPr="008E7D8D">
        <w:rPr>
          <w:rFonts w:eastAsia="Arial" w:cs="Arial"/>
          <w:color w:val="000000" w:themeColor="text1"/>
        </w:rPr>
        <w:t xml:space="preserve"> Under the umbrella of the Boost ERDF project the Business Growth and Innovation service set up from scratch and implemented a small capital grants programme to support Lancashire SMEs in their response to the impact of the pandemic. This involved the review of over 1,000 Expressions of Interest and the issuing of 500+ Application Forms to eligible businesses in the county council, Blackburn with Darwen, and Blackpool areas. This was in addition to the planned work priorities of the service.  </w:t>
      </w:r>
    </w:p>
    <w:p w14:paraId="1CBDD8CC" w14:textId="64D04AD5" w:rsidR="004329E6" w:rsidRPr="008E7D8D" w:rsidRDefault="006219DA" w:rsidP="4E6013FB">
      <w:pPr>
        <w:jc w:val="left"/>
        <w:rPr>
          <w:rFonts w:eastAsia="Arial" w:cs="Arial"/>
          <w:color w:val="000000" w:themeColor="text1"/>
        </w:rPr>
      </w:pPr>
      <w:r w:rsidRPr="008E7D8D">
        <w:rPr>
          <w:rFonts w:eastAsia="Arial" w:cs="Arial"/>
          <w:color w:val="000000" w:themeColor="text1"/>
        </w:rPr>
        <w:t>Most of the grant defrayal was completed before the end of March 2021 with many staff across the team working hard to distribute the money to grateful businesses.</w:t>
      </w:r>
      <w:r w:rsidR="007A0DDB" w:rsidRPr="008E7D8D">
        <w:t xml:space="preserve"> The Recovery Grants programme has </w:t>
      </w:r>
      <w:r w:rsidRPr="008E7D8D">
        <w:t xml:space="preserve">now </w:t>
      </w:r>
      <w:r w:rsidR="007A0DDB" w:rsidRPr="008E7D8D">
        <w:t>completed delivery and distributed all relevant funds so there is no change to the figures.</w:t>
      </w:r>
      <w:r w:rsidRPr="008E7D8D">
        <w:rPr>
          <w:rFonts w:eastAsia="Arial" w:cs="Arial"/>
          <w:color w:val="000000" w:themeColor="text1"/>
        </w:rPr>
        <w:t xml:space="preserve"> To the end of June 2021</w:t>
      </w:r>
      <w:r w:rsidR="00FB4593">
        <w:rPr>
          <w:rFonts w:eastAsia="Arial" w:cs="Arial"/>
          <w:color w:val="000000" w:themeColor="text1"/>
        </w:rPr>
        <w:t>,</w:t>
      </w:r>
      <w:r w:rsidRPr="008E7D8D">
        <w:rPr>
          <w:rFonts w:eastAsia="Arial" w:cs="Arial"/>
          <w:color w:val="000000" w:themeColor="text1"/>
        </w:rPr>
        <w:t xml:space="preserve"> the service has defrayed £1,108,645.80 to 347 business.</w:t>
      </w:r>
    </w:p>
    <w:p w14:paraId="15087CEC" w14:textId="77777777" w:rsidR="004329E6" w:rsidRPr="004329E6" w:rsidRDefault="004329E6" w:rsidP="4E6013FB">
      <w:pPr>
        <w:jc w:val="left"/>
        <w:rPr>
          <w:sz w:val="22"/>
          <w:szCs w:val="22"/>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1843"/>
        <w:gridCol w:w="6237"/>
      </w:tblGrid>
      <w:tr w:rsidR="00176ACB" w14:paraId="69D4EB61" w14:textId="77777777" w:rsidTr="0D5360B6">
        <w:tc>
          <w:tcPr>
            <w:tcW w:w="4536" w:type="dxa"/>
            <w:tcBorders>
              <w:top w:val="single" w:sz="4" w:space="0" w:color="auto"/>
              <w:left w:val="single" w:sz="4" w:space="0" w:color="auto"/>
              <w:bottom w:val="single" w:sz="4" w:space="0" w:color="auto"/>
              <w:right w:val="single" w:sz="4" w:space="0" w:color="auto"/>
            </w:tcBorders>
            <w:hideMark/>
          </w:tcPr>
          <w:p w14:paraId="22F0217A" w14:textId="77777777" w:rsidR="001400A4" w:rsidRPr="00A13FE9" w:rsidRDefault="006219DA" w:rsidP="00AB6544">
            <w:pPr>
              <w:pStyle w:val="NoSpacing"/>
              <w:rPr>
                <w:rFonts w:ascii="Arial" w:hAnsi="Arial" w:cs="Arial"/>
                <w:b/>
              </w:rPr>
            </w:pPr>
            <w:r w:rsidRPr="00A13FE9">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14:paraId="7140FD84" w14:textId="77777777" w:rsidR="001400A4" w:rsidRPr="00A13FE9" w:rsidRDefault="006219DA" w:rsidP="00AB6544">
            <w:pPr>
              <w:pStyle w:val="NoSpacing"/>
              <w:rPr>
                <w:rFonts w:ascii="Arial" w:hAnsi="Arial" w:cs="Arial"/>
                <w:b/>
              </w:rPr>
            </w:pPr>
            <w:r w:rsidRPr="00A13FE9">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14:paraId="654A93A2" w14:textId="77777777" w:rsidR="001400A4" w:rsidRPr="00A13FE9" w:rsidRDefault="006219DA" w:rsidP="00AB6544">
            <w:pPr>
              <w:pStyle w:val="NoSpacing"/>
              <w:rPr>
                <w:rFonts w:ascii="Arial" w:hAnsi="Arial" w:cs="Arial"/>
                <w:b/>
              </w:rPr>
            </w:pPr>
            <w:r w:rsidRPr="00A13FE9">
              <w:rPr>
                <w:rFonts w:ascii="Arial" w:hAnsi="Arial" w:cs="Arial"/>
                <w:b/>
              </w:rPr>
              <w:t xml:space="preserve">Directorate </w:t>
            </w:r>
          </w:p>
        </w:tc>
        <w:tc>
          <w:tcPr>
            <w:tcW w:w="6237" w:type="dxa"/>
            <w:tcBorders>
              <w:top w:val="single" w:sz="8" w:space="0" w:color="auto"/>
              <w:left w:val="nil"/>
              <w:bottom w:val="single" w:sz="8" w:space="0" w:color="auto"/>
              <w:right w:val="single" w:sz="4" w:space="0" w:color="auto"/>
            </w:tcBorders>
          </w:tcPr>
          <w:p w14:paraId="790E903B" w14:textId="77777777" w:rsidR="001400A4" w:rsidRPr="00A13FE9" w:rsidRDefault="006219DA" w:rsidP="00AB6544">
            <w:pPr>
              <w:pStyle w:val="NoSpacing"/>
              <w:spacing w:line="252" w:lineRule="auto"/>
              <w:rPr>
                <w:rFonts w:ascii="Arial" w:eastAsiaTheme="minorHAnsi" w:hAnsi="Arial" w:cs="Arial"/>
                <w:b/>
                <w:bCs/>
              </w:rPr>
            </w:pPr>
            <w:r w:rsidRPr="00A13FE9">
              <w:rPr>
                <w:rFonts w:ascii="Arial" w:hAnsi="Arial" w:cs="Arial"/>
                <w:b/>
                <w:bCs/>
              </w:rPr>
              <w:t>Current Performance</w:t>
            </w:r>
          </w:p>
          <w:p w14:paraId="3EC0143B" w14:textId="77777777" w:rsidR="001400A4" w:rsidRPr="00A13FE9" w:rsidRDefault="001400A4" w:rsidP="00AB6544">
            <w:pPr>
              <w:pStyle w:val="NoSpacing"/>
              <w:spacing w:line="252" w:lineRule="auto"/>
              <w:rPr>
                <w:rFonts w:ascii="Arial" w:eastAsiaTheme="minorHAnsi" w:hAnsi="Arial" w:cs="Arial"/>
                <w:b/>
                <w:bCs/>
              </w:rPr>
            </w:pPr>
          </w:p>
        </w:tc>
      </w:tr>
      <w:tr w:rsidR="00176ACB" w14:paraId="627BEF28" w14:textId="77777777" w:rsidTr="0D5360B6">
        <w:tc>
          <w:tcPr>
            <w:tcW w:w="4536" w:type="dxa"/>
            <w:tcBorders>
              <w:top w:val="single" w:sz="4" w:space="0" w:color="auto"/>
              <w:left w:val="single" w:sz="4" w:space="0" w:color="auto"/>
              <w:bottom w:val="single" w:sz="4" w:space="0" w:color="auto"/>
              <w:right w:val="single" w:sz="4" w:space="0" w:color="auto"/>
            </w:tcBorders>
            <w:hideMark/>
          </w:tcPr>
          <w:p w14:paraId="2856E12D" w14:textId="77777777" w:rsidR="001400A4" w:rsidRPr="00A13FE9" w:rsidRDefault="006219DA" w:rsidP="00AB6544">
            <w:pPr>
              <w:pStyle w:val="NoSpacing"/>
              <w:rPr>
                <w:rFonts w:ascii="Arial" w:hAnsi="Arial" w:cs="Arial"/>
              </w:rPr>
            </w:pPr>
            <w:r w:rsidRPr="00A13FE9">
              <w:rPr>
                <w:rFonts w:ascii="Arial" w:hAnsi="Arial" w:cs="Arial"/>
              </w:rPr>
              <w:t>Number of visitors to Lancashire</w:t>
            </w:r>
          </w:p>
        </w:tc>
        <w:tc>
          <w:tcPr>
            <w:tcW w:w="1418" w:type="dxa"/>
            <w:tcBorders>
              <w:top w:val="single" w:sz="4" w:space="0" w:color="auto"/>
              <w:left w:val="single" w:sz="4" w:space="0" w:color="auto"/>
              <w:bottom w:val="single" w:sz="4" w:space="0" w:color="auto"/>
              <w:right w:val="single" w:sz="4" w:space="0" w:color="auto"/>
            </w:tcBorders>
            <w:hideMark/>
          </w:tcPr>
          <w:p w14:paraId="28093545" w14:textId="77777777" w:rsidR="001400A4" w:rsidRPr="00A13FE9" w:rsidRDefault="006219DA" w:rsidP="00AB6544">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14:paraId="044D5B35" w14:textId="77777777" w:rsidR="001400A4" w:rsidRPr="00A13FE9" w:rsidRDefault="006219DA" w:rsidP="00AB6544">
            <w:pPr>
              <w:pStyle w:val="NoSpacing"/>
              <w:rPr>
                <w:rFonts w:ascii="Arial" w:hAnsi="Arial" w:cs="Arial"/>
                <w:color w:val="FF0000"/>
              </w:rPr>
            </w:pPr>
            <w:r w:rsidRPr="00A13FE9">
              <w:rPr>
                <w:rFonts w:ascii="Arial" w:hAnsi="Arial" w:cs="Arial"/>
              </w:rPr>
              <w:t>Growth, Environment and Transport</w:t>
            </w:r>
          </w:p>
        </w:tc>
        <w:tc>
          <w:tcPr>
            <w:tcW w:w="6237" w:type="dxa"/>
            <w:vMerge w:val="restart"/>
            <w:tcBorders>
              <w:top w:val="single" w:sz="8" w:space="0" w:color="auto"/>
              <w:left w:val="nil"/>
              <w:right w:val="single" w:sz="4" w:space="0" w:color="auto"/>
            </w:tcBorders>
          </w:tcPr>
          <w:p w14:paraId="26B0AA24" w14:textId="265E8690" w:rsidR="001400A4" w:rsidRPr="00A13FE9" w:rsidRDefault="006219DA" w:rsidP="00AB6544">
            <w:pPr>
              <w:pStyle w:val="NoSpacing"/>
              <w:rPr>
                <w:rFonts w:ascii="Arial" w:hAnsi="Arial" w:cs="Arial"/>
              </w:rPr>
            </w:pPr>
            <w:r w:rsidRPr="0D5360B6">
              <w:rPr>
                <w:rFonts w:ascii="Arial" w:hAnsi="Arial" w:cs="Arial"/>
              </w:rPr>
              <w:t>Annual Report – schedule to be confirmed.</w:t>
            </w:r>
          </w:p>
        </w:tc>
      </w:tr>
      <w:tr w:rsidR="00176ACB" w14:paraId="5EE371BC" w14:textId="77777777" w:rsidTr="0D5360B6">
        <w:tc>
          <w:tcPr>
            <w:tcW w:w="4536" w:type="dxa"/>
            <w:tcBorders>
              <w:top w:val="single" w:sz="4" w:space="0" w:color="auto"/>
              <w:left w:val="single" w:sz="4" w:space="0" w:color="auto"/>
              <w:bottom w:val="single" w:sz="4" w:space="0" w:color="auto"/>
              <w:right w:val="single" w:sz="4" w:space="0" w:color="auto"/>
            </w:tcBorders>
            <w:hideMark/>
          </w:tcPr>
          <w:p w14:paraId="4792C7B1" w14:textId="77777777" w:rsidR="001400A4" w:rsidRPr="00A13FE9" w:rsidRDefault="006219DA" w:rsidP="00AB6544">
            <w:pPr>
              <w:pStyle w:val="NoSpacing"/>
              <w:rPr>
                <w:rFonts w:ascii="Arial" w:hAnsi="Arial" w:cs="Arial"/>
              </w:rPr>
            </w:pPr>
            <w:r w:rsidRPr="00A13FE9">
              <w:rPr>
                <w:rFonts w:ascii="Arial" w:hAnsi="Arial" w:cs="Arial"/>
              </w:rPr>
              <w:t>The economic impact of visitors to Lancashire</w:t>
            </w:r>
          </w:p>
        </w:tc>
        <w:tc>
          <w:tcPr>
            <w:tcW w:w="1418" w:type="dxa"/>
            <w:tcBorders>
              <w:top w:val="single" w:sz="4" w:space="0" w:color="auto"/>
              <w:left w:val="single" w:sz="4" w:space="0" w:color="auto"/>
              <w:bottom w:val="single" w:sz="4" w:space="0" w:color="auto"/>
              <w:right w:val="single" w:sz="4" w:space="0" w:color="auto"/>
            </w:tcBorders>
            <w:hideMark/>
          </w:tcPr>
          <w:p w14:paraId="6503BC4C" w14:textId="77777777" w:rsidR="001400A4" w:rsidRPr="00A13FE9" w:rsidRDefault="006219DA" w:rsidP="00AB6544">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14:paraId="5B5B9822" w14:textId="77777777" w:rsidR="001400A4" w:rsidRPr="00A13FE9" w:rsidRDefault="006219DA" w:rsidP="00AB6544">
            <w:pPr>
              <w:pStyle w:val="NoSpacing"/>
              <w:rPr>
                <w:rFonts w:ascii="Arial" w:hAnsi="Arial" w:cs="Arial"/>
                <w:color w:val="FF0000"/>
              </w:rPr>
            </w:pPr>
            <w:r w:rsidRPr="00A13FE9">
              <w:rPr>
                <w:rFonts w:ascii="Arial" w:hAnsi="Arial" w:cs="Arial"/>
              </w:rPr>
              <w:t>Growth, Environment and Transport</w:t>
            </w:r>
          </w:p>
        </w:tc>
        <w:tc>
          <w:tcPr>
            <w:tcW w:w="6237" w:type="dxa"/>
            <w:vMerge/>
          </w:tcPr>
          <w:p w14:paraId="63E83919" w14:textId="77777777" w:rsidR="001400A4" w:rsidRPr="00A13FE9" w:rsidRDefault="001400A4" w:rsidP="00AB6544">
            <w:pPr>
              <w:pStyle w:val="NoSpacing"/>
              <w:rPr>
                <w:rFonts w:ascii="Arial" w:hAnsi="Arial" w:cs="Arial"/>
              </w:rPr>
            </w:pPr>
          </w:p>
        </w:tc>
      </w:tr>
      <w:tr w:rsidR="00176ACB" w14:paraId="345D55C5" w14:textId="77777777" w:rsidTr="0D5360B6">
        <w:tc>
          <w:tcPr>
            <w:tcW w:w="4536" w:type="dxa"/>
            <w:tcBorders>
              <w:top w:val="single" w:sz="4" w:space="0" w:color="auto"/>
              <w:left w:val="single" w:sz="4" w:space="0" w:color="auto"/>
              <w:bottom w:val="single" w:sz="4" w:space="0" w:color="auto"/>
              <w:right w:val="single" w:sz="4" w:space="0" w:color="auto"/>
            </w:tcBorders>
            <w:hideMark/>
          </w:tcPr>
          <w:p w14:paraId="568F2A96" w14:textId="77777777" w:rsidR="001400A4" w:rsidRPr="00A13FE9" w:rsidRDefault="006219DA" w:rsidP="00AB6544">
            <w:pPr>
              <w:pStyle w:val="NoSpacing"/>
              <w:rPr>
                <w:rFonts w:ascii="Arial" w:hAnsi="Arial" w:cs="Arial"/>
              </w:rPr>
            </w:pPr>
            <w:r w:rsidRPr="00A13FE9">
              <w:rPr>
                <w:rFonts w:ascii="Arial" w:hAnsi="Arial" w:cs="Arial"/>
              </w:rPr>
              <w:t>Full Time Equivalent jobs supported by the visitor economy</w:t>
            </w:r>
          </w:p>
        </w:tc>
        <w:tc>
          <w:tcPr>
            <w:tcW w:w="1418" w:type="dxa"/>
            <w:tcBorders>
              <w:top w:val="single" w:sz="4" w:space="0" w:color="auto"/>
              <w:left w:val="single" w:sz="4" w:space="0" w:color="auto"/>
              <w:bottom w:val="single" w:sz="4" w:space="0" w:color="auto"/>
              <w:right w:val="single" w:sz="4" w:space="0" w:color="auto"/>
            </w:tcBorders>
            <w:hideMark/>
          </w:tcPr>
          <w:p w14:paraId="4D61AEE8" w14:textId="77777777" w:rsidR="001400A4" w:rsidRPr="00A13FE9" w:rsidRDefault="006219DA" w:rsidP="00AB6544">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14:paraId="377FE222" w14:textId="77777777" w:rsidR="001400A4" w:rsidRPr="002B3909" w:rsidRDefault="006219DA" w:rsidP="00AB6544">
            <w:pPr>
              <w:pStyle w:val="NoSpacing"/>
              <w:rPr>
                <w:rFonts w:ascii="Arial" w:hAnsi="Arial" w:cs="Arial"/>
                <w:color w:val="FF0000"/>
              </w:rPr>
            </w:pPr>
            <w:r w:rsidRPr="00A13FE9">
              <w:rPr>
                <w:rFonts w:ascii="Arial" w:hAnsi="Arial" w:cs="Arial"/>
              </w:rPr>
              <w:t>Growth, Environment and Transport</w:t>
            </w:r>
          </w:p>
        </w:tc>
        <w:tc>
          <w:tcPr>
            <w:tcW w:w="6237" w:type="dxa"/>
            <w:vMerge/>
          </w:tcPr>
          <w:p w14:paraId="401302C0" w14:textId="77777777" w:rsidR="001400A4" w:rsidRPr="00FA30B2" w:rsidRDefault="001400A4" w:rsidP="00AB6544">
            <w:pPr>
              <w:pStyle w:val="NoSpacing"/>
              <w:rPr>
                <w:rFonts w:ascii="Arial" w:hAnsi="Arial" w:cs="Arial"/>
              </w:rPr>
            </w:pPr>
          </w:p>
        </w:tc>
      </w:tr>
      <w:tr w:rsidR="00176ACB" w14:paraId="5289A58D" w14:textId="77777777" w:rsidTr="0D5360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4536" w:type="dxa"/>
            <w:tcBorders>
              <w:top w:val="single" w:sz="4" w:space="0" w:color="auto"/>
              <w:left w:val="single" w:sz="4" w:space="0" w:color="auto"/>
              <w:bottom w:val="single" w:sz="4" w:space="0" w:color="auto"/>
              <w:right w:val="single" w:sz="4" w:space="0" w:color="auto"/>
            </w:tcBorders>
          </w:tcPr>
          <w:p w14:paraId="4257D74D" w14:textId="77777777" w:rsidR="001400A4" w:rsidRPr="001E31D4" w:rsidRDefault="006219DA" w:rsidP="00AB6544">
            <w:pPr>
              <w:jc w:val="left"/>
            </w:pPr>
            <w:r w:rsidRPr="62385CB5">
              <w:rPr>
                <w:rFonts w:eastAsia="Arial" w:cs="Arial"/>
                <w:color w:val="000000" w:themeColor="text1"/>
                <w:sz w:val="22"/>
                <w:szCs w:val="22"/>
              </w:rPr>
              <w:lastRenderedPageBreak/>
              <w:t xml:space="preserve">Progress on the apprenticeship levy </w:t>
            </w:r>
          </w:p>
        </w:tc>
        <w:tc>
          <w:tcPr>
            <w:tcW w:w="1418" w:type="dxa"/>
            <w:tcBorders>
              <w:top w:val="single" w:sz="4" w:space="0" w:color="auto"/>
              <w:left w:val="single" w:sz="4" w:space="0" w:color="auto"/>
              <w:bottom w:val="single" w:sz="4" w:space="0" w:color="auto"/>
              <w:right w:val="single" w:sz="4" w:space="0" w:color="auto"/>
            </w:tcBorders>
          </w:tcPr>
          <w:p w14:paraId="3EEB84A8" w14:textId="77777777" w:rsidR="001400A4" w:rsidRDefault="006219DA" w:rsidP="00AB6544">
            <w:pPr>
              <w:jc w:val="left"/>
            </w:pPr>
            <w:r w:rsidRPr="62385CB5">
              <w:rPr>
                <w:rFonts w:eastAsia="Arial" w:cs="Arial"/>
                <w:color w:val="000000" w:themeColor="text1"/>
                <w:sz w:val="22"/>
                <w:szCs w:val="22"/>
              </w:rPr>
              <w:t xml:space="preserve">Annual </w:t>
            </w:r>
          </w:p>
        </w:tc>
        <w:tc>
          <w:tcPr>
            <w:tcW w:w="1843" w:type="dxa"/>
            <w:tcBorders>
              <w:top w:val="single" w:sz="4" w:space="0" w:color="auto"/>
              <w:left w:val="single" w:sz="4" w:space="0" w:color="auto"/>
              <w:bottom w:val="single" w:sz="4" w:space="0" w:color="auto"/>
              <w:right w:val="single" w:sz="4" w:space="0" w:color="auto"/>
            </w:tcBorders>
          </w:tcPr>
          <w:p w14:paraId="6C4CF925" w14:textId="77777777" w:rsidR="001400A4" w:rsidRDefault="006219DA" w:rsidP="00AB6544">
            <w:pPr>
              <w:jc w:val="left"/>
            </w:pPr>
            <w:r w:rsidRPr="62385CB5">
              <w:rPr>
                <w:rFonts w:eastAsia="Arial" w:cs="Arial"/>
                <w:color w:val="000000" w:themeColor="text1"/>
                <w:sz w:val="22"/>
                <w:szCs w:val="22"/>
              </w:rPr>
              <w:t xml:space="preserve">Chief Executive and Director of Resources </w:t>
            </w:r>
          </w:p>
        </w:tc>
        <w:tc>
          <w:tcPr>
            <w:tcW w:w="6237" w:type="dxa"/>
            <w:tcBorders>
              <w:top w:val="single" w:sz="4" w:space="0" w:color="auto"/>
              <w:left w:val="single" w:sz="4" w:space="0" w:color="auto"/>
              <w:bottom w:val="single" w:sz="4" w:space="0" w:color="auto"/>
              <w:right w:val="single" w:sz="4" w:space="0" w:color="auto"/>
            </w:tcBorders>
          </w:tcPr>
          <w:p w14:paraId="5FFEF1A8" w14:textId="77777777" w:rsidR="001400A4" w:rsidRDefault="006219DA" w:rsidP="00AB6544">
            <w:pPr>
              <w:jc w:val="left"/>
            </w:pPr>
            <w:r w:rsidRPr="62385CB5">
              <w:rPr>
                <w:rFonts w:eastAsia="Arial" w:cs="Arial"/>
                <w:color w:val="000000" w:themeColor="text1"/>
                <w:sz w:val="22"/>
                <w:szCs w:val="22"/>
              </w:rPr>
              <w:t xml:space="preserve">Annual Report – schedule to be confirmed </w:t>
            </w:r>
          </w:p>
        </w:tc>
      </w:tr>
    </w:tbl>
    <w:p w14:paraId="44D9B479" w14:textId="77777777" w:rsidR="00FB4593" w:rsidRDefault="00FB4593" w:rsidP="00090583">
      <w:pPr>
        <w:pStyle w:val="NoSpacing"/>
        <w:rPr>
          <w:rFonts w:ascii="Arial" w:hAnsi="Arial" w:cs="Arial"/>
          <w:b/>
        </w:rPr>
      </w:pPr>
    </w:p>
    <w:p w14:paraId="2105A35D" w14:textId="77777777" w:rsidR="00FB4593" w:rsidRDefault="00FB4593" w:rsidP="00090583">
      <w:pPr>
        <w:pStyle w:val="NoSpacing"/>
        <w:rPr>
          <w:rFonts w:ascii="Arial" w:hAnsi="Arial" w:cs="Arial"/>
          <w:b/>
        </w:rPr>
      </w:pPr>
    </w:p>
    <w:p w14:paraId="0F8458FF" w14:textId="6EED4F3C" w:rsidR="00090583" w:rsidRPr="00FB4593" w:rsidRDefault="006219DA" w:rsidP="00090583">
      <w:pPr>
        <w:pStyle w:val="NoSpacing"/>
        <w:rPr>
          <w:rFonts w:ascii="Arial" w:hAnsi="Arial" w:cs="Arial"/>
          <w:b/>
          <w:sz w:val="24"/>
          <w:szCs w:val="24"/>
        </w:rPr>
      </w:pPr>
      <w:r w:rsidRPr="00FB4593">
        <w:rPr>
          <w:rFonts w:ascii="Arial" w:hAnsi="Arial" w:cs="Arial"/>
          <w:b/>
          <w:sz w:val="24"/>
          <w:szCs w:val="24"/>
        </w:rPr>
        <w:t>Educational attainment</w:t>
      </w:r>
    </w:p>
    <w:p w14:paraId="6356F298" w14:textId="77777777" w:rsidR="00090583" w:rsidRPr="00FB4593" w:rsidRDefault="00090583" w:rsidP="00090583">
      <w:pPr>
        <w:pStyle w:val="NoSpacing"/>
        <w:rPr>
          <w:rFonts w:ascii="Arial" w:hAnsi="Arial" w:cs="Arial"/>
          <w:b/>
          <w:sz w:val="24"/>
          <w:szCs w:val="24"/>
        </w:rPr>
      </w:pPr>
    </w:p>
    <w:p w14:paraId="60BB5451" w14:textId="77777777" w:rsidR="004329E6" w:rsidRPr="00FB4593" w:rsidRDefault="006219DA" w:rsidP="00090583">
      <w:pPr>
        <w:pStyle w:val="NoSpacing"/>
        <w:rPr>
          <w:rFonts w:ascii="Arial" w:hAnsi="Arial" w:cs="Arial"/>
          <w:color w:val="000000" w:themeColor="text1"/>
          <w:sz w:val="24"/>
          <w:szCs w:val="24"/>
        </w:rPr>
      </w:pPr>
      <w:r w:rsidRPr="00FB4593">
        <w:rPr>
          <w:rFonts w:ascii="Arial" w:hAnsi="Arial" w:cs="Arial"/>
          <w:b/>
          <w:sz w:val="24"/>
          <w:szCs w:val="24"/>
        </w:rPr>
        <w:t>Key Stage 4 (KS4)</w:t>
      </w:r>
      <w:r w:rsidRPr="00FB4593">
        <w:rPr>
          <w:rFonts w:ascii="Arial" w:hAnsi="Arial" w:cs="Arial"/>
          <w:sz w:val="24"/>
          <w:szCs w:val="24"/>
        </w:rPr>
        <w:t>.</w:t>
      </w:r>
      <w:r w:rsidRPr="00FB4593">
        <w:rPr>
          <w:rFonts w:ascii="Arial" w:hAnsi="Arial" w:cs="Arial"/>
          <w:i/>
          <w:iCs/>
          <w:color w:val="000000" w:themeColor="text1"/>
          <w:sz w:val="24"/>
          <w:szCs w:val="24"/>
        </w:rPr>
        <w:t xml:space="preserve"> </w:t>
      </w:r>
      <w:r w:rsidRPr="00FB4593">
        <w:rPr>
          <w:rFonts w:ascii="Arial" w:hAnsi="Arial" w:cs="Arial"/>
          <w:color w:val="000000" w:themeColor="text1"/>
          <w:sz w:val="24"/>
          <w:szCs w:val="24"/>
        </w:rPr>
        <w:t>2020/21 figures are due in late November 2021 and available to report soon thereafter.</w:t>
      </w:r>
    </w:p>
    <w:p w14:paraId="19A5A7C2" w14:textId="17E90040" w:rsidR="00090583" w:rsidRPr="00FB4593" w:rsidRDefault="006219DA" w:rsidP="00090583">
      <w:pPr>
        <w:pStyle w:val="NoSpacing"/>
        <w:rPr>
          <w:rFonts w:ascii="Arial" w:hAnsi="Arial" w:cs="Arial"/>
          <w:i/>
          <w:iCs/>
          <w:color w:val="000000"/>
          <w:sz w:val="24"/>
          <w:szCs w:val="24"/>
        </w:rPr>
      </w:pPr>
      <w:r w:rsidRPr="00FB4593">
        <w:rPr>
          <w:rFonts w:ascii="Arial" w:hAnsi="Arial" w:cs="Arial"/>
          <w:i/>
          <w:iCs/>
          <w:color w:val="000000"/>
          <w:sz w:val="24"/>
          <w:szCs w:val="24"/>
        </w:rPr>
        <w:t xml:space="preserve"> </w:t>
      </w:r>
    </w:p>
    <w:p w14:paraId="37023AC7" w14:textId="77777777" w:rsidR="00090583" w:rsidRPr="00FB4593" w:rsidRDefault="006219DA" w:rsidP="00090583">
      <w:pPr>
        <w:pStyle w:val="NoSpacing"/>
        <w:jc w:val="both"/>
        <w:rPr>
          <w:rFonts w:ascii="Arial" w:hAnsi="Arial" w:cs="Arial"/>
          <w:sz w:val="24"/>
          <w:szCs w:val="24"/>
        </w:rPr>
      </w:pPr>
      <w:r w:rsidRPr="00FB4593">
        <w:rPr>
          <w:rFonts w:ascii="Arial" w:hAnsi="Arial" w:cs="Arial"/>
          <w:b/>
          <w:bCs/>
          <w:sz w:val="24"/>
          <w:szCs w:val="24"/>
        </w:rPr>
        <w:t xml:space="preserve">Early years Foundation Stage and Key Stage 2. </w:t>
      </w:r>
      <w:r w:rsidRPr="00FB4593">
        <w:rPr>
          <w:rFonts w:ascii="Arial" w:hAnsi="Arial" w:cs="Arial"/>
          <w:sz w:val="24"/>
          <w:szCs w:val="24"/>
        </w:rPr>
        <w:t>Assessments did not take place for the period 2019/20 and 2020/21</w:t>
      </w:r>
      <w:r w:rsidRPr="00FB4593">
        <w:rPr>
          <w:rFonts w:ascii="Arial" w:hAnsi="Arial" w:cs="Arial"/>
          <w:b/>
          <w:bCs/>
          <w:sz w:val="24"/>
          <w:szCs w:val="24"/>
        </w:rPr>
        <w:t xml:space="preserve"> </w:t>
      </w:r>
      <w:r w:rsidRPr="00FB4593">
        <w:rPr>
          <w:rFonts w:ascii="Arial" w:hAnsi="Arial" w:cs="Arial"/>
          <w:sz w:val="24"/>
          <w:szCs w:val="24"/>
        </w:rPr>
        <w:t>(EYFS not mandatory during this period) hence the omission of performance updates under these areas.</w:t>
      </w:r>
    </w:p>
    <w:p w14:paraId="6B95A88D" w14:textId="77777777" w:rsidR="00090583" w:rsidRDefault="00090583" w:rsidP="00090583">
      <w:pPr>
        <w:pStyle w:val="NoSpacing"/>
        <w:jc w:val="both"/>
        <w:rPr>
          <w:rFonts w:ascii="Arial" w:hAnsi="Arial" w:cs="Arial"/>
          <w:b/>
        </w:rPr>
      </w:pPr>
    </w:p>
    <w:tbl>
      <w:tblPr>
        <w:tblW w:w="137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327"/>
        <w:gridCol w:w="1398"/>
        <w:gridCol w:w="1531"/>
        <w:gridCol w:w="839"/>
        <w:gridCol w:w="1118"/>
        <w:gridCol w:w="1541"/>
        <w:gridCol w:w="1094"/>
        <w:gridCol w:w="1810"/>
        <w:gridCol w:w="1118"/>
      </w:tblGrid>
      <w:tr w:rsidR="00176ACB" w14:paraId="51E786C3" w14:textId="77777777" w:rsidTr="00654F8B">
        <w:trPr>
          <w:trHeight w:val="375"/>
        </w:trPr>
        <w:tc>
          <w:tcPr>
            <w:tcW w:w="3327" w:type="dxa"/>
          </w:tcPr>
          <w:p w14:paraId="67702C45" w14:textId="77777777" w:rsidR="00090583" w:rsidRPr="00387F7F" w:rsidRDefault="006219DA" w:rsidP="00654F8B">
            <w:pPr>
              <w:rPr>
                <w:sz w:val="20"/>
                <w:szCs w:val="20"/>
              </w:rPr>
            </w:pPr>
            <w:r w:rsidRPr="00387F7F">
              <w:rPr>
                <w:rFonts w:eastAsia="Arial" w:cs="Arial"/>
                <w:b/>
                <w:bCs/>
                <w:sz w:val="20"/>
                <w:szCs w:val="20"/>
              </w:rPr>
              <w:t>Performance Indicator</w:t>
            </w:r>
          </w:p>
        </w:tc>
        <w:tc>
          <w:tcPr>
            <w:tcW w:w="1398" w:type="dxa"/>
          </w:tcPr>
          <w:p w14:paraId="555F476E" w14:textId="77777777" w:rsidR="00090583" w:rsidRPr="00387F7F" w:rsidRDefault="006219DA" w:rsidP="00654F8B">
            <w:pPr>
              <w:rPr>
                <w:sz w:val="20"/>
                <w:szCs w:val="20"/>
              </w:rPr>
            </w:pPr>
            <w:r w:rsidRPr="00387F7F">
              <w:rPr>
                <w:rFonts w:eastAsia="Arial" w:cs="Arial"/>
                <w:b/>
                <w:bCs/>
                <w:sz w:val="20"/>
                <w:szCs w:val="20"/>
              </w:rPr>
              <w:t>Frequency</w:t>
            </w:r>
          </w:p>
        </w:tc>
        <w:tc>
          <w:tcPr>
            <w:tcW w:w="1531" w:type="dxa"/>
          </w:tcPr>
          <w:p w14:paraId="4344242C" w14:textId="77777777" w:rsidR="00090583" w:rsidRPr="00387F7F" w:rsidRDefault="006219DA" w:rsidP="00654F8B">
            <w:pPr>
              <w:rPr>
                <w:sz w:val="20"/>
                <w:szCs w:val="20"/>
              </w:rPr>
            </w:pPr>
            <w:r w:rsidRPr="00387F7F">
              <w:rPr>
                <w:rFonts w:eastAsia="Arial" w:cs="Arial"/>
                <w:b/>
                <w:bCs/>
                <w:sz w:val="20"/>
                <w:szCs w:val="20"/>
              </w:rPr>
              <w:t xml:space="preserve">Directorate </w:t>
            </w:r>
          </w:p>
        </w:tc>
        <w:tc>
          <w:tcPr>
            <w:tcW w:w="839" w:type="dxa"/>
          </w:tcPr>
          <w:p w14:paraId="282C8454" w14:textId="77777777" w:rsidR="00090583" w:rsidRPr="00387F7F" w:rsidRDefault="006219DA" w:rsidP="00654F8B">
            <w:pPr>
              <w:rPr>
                <w:sz w:val="20"/>
                <w:szCs w:val="20"/>
              </w:rPr>
            </w:pPr>
            <w:r w:rsidRPr="00387F7F">
              <w:rPr>
                <w:rFonts w:eastAsia="Arial" w:cs="Arial"/>
                <w:b/>
                <w:bCs/>
                <w:sz w:val="20"/>
                <w:szCs w:val="20"/>
              </w:rPr>
              <w:t>Good is</w:t>
            </w:r>
          </w:p>
        </w:tc>
        <w:tc>
          <w:tcPr>
            <w:tcW w:w="1118" w:type="dxa"/>
            <w:shd w:val="clear" w:color="auto" w:fill="FFFFFF" w:themeFill="background1"/>
          </w:tcPr>
          <w:p w14:paraId="4EDD43E9" w14:textId="77777777" w:rsidR="00090583" w:rsidRPr="00387F7F" w:rsidRDefault="006219DA" w:rsidP="00654F8B">
            <w:pPr>
              <w:rPr>
                <w:sz w:val="20"/>
                <w:szCs w:val="20"/>
              </w:rPr>
            </w:pPr>
            <w:r w:rsidRPr="00387F7F">
              <w:rPr>
                <w:rFonts w:eastAsia="Arial" w:cs="Arial"/>
                <w:b/>
                <w:bCs/>
                <w:sz w:val="20"/>
                <w:szCs w:val="20"/>
              </w:rPr>
              <w:t xml:space="preserve">2018/19 </w:t>
            </w:r>
          </w:p>
        </w:tc>
        <w:tc>
          <w:tcPr>
            <w:tcW w:w="1541" w:type="dxa"/>
          </w:tcPr>
          <w:p w14:paraId="198320BB" w14:textId="77777777" w:rsidR="00090583" w:rsidRPr="00387F7F" w:rsidRDefault="006219DA" w:rsidP="00654F8B">
            <w:pPr>
              <w:rPr>
                <w:sz w:val="20"/>
                <w:szCs w:val="20"/>
              </w:rPr>
            </w:pPr>
            <w:r w:rsidRPr="00387F7F">
              <w:rPr>
                <w:rFonts w:eastAsia="Arial" w:cs="Arial"/>
                <w:b/>
                <w:bCs/>
                <w:color w:val="000000" w:themeColor="text1"/>
                <w:sz w:val="20"/>
                <w:szCs w:val="20"/>
              </w:rPr>
              <w:t>2019-20</w:t>
            </w:r>
          </w:p>
        </w:tc>
        <w:tc>
          <w:tcPr>
            <w:tcW w:w="1094" w:type="dxa"/>
          </w:tcPr>
          <w:p w14:paraId="568B6CAA" w14:textId="77777777" w:rsidR="00090583" w:rsidRPr="00387F7F" w:rsidRDefault="006219DA" w:rsidP="00654F8B">
            <w:pPr>
              <w:rPr>
                <w:sz w:val="20"/>
                <w:szCs w:val="20"/>
              </w:rPr>
            </w:pPr>
            <w:r w:rsidRPr="00387F7F">
              <w:rPr>
                <w:rFonts w:eastAsia="Arial" w:cs="Arial"/>
                <w:b/>
                <w:bCs/>
                <w:color w:val="000000" w:themeColor="text1"/>
                <w:sz w:val="20"/>
                <w:szCs w:val="20"/>
              </w:rPr>
              <w:t>2020-21</w:t>
            </w:r>
          </w:p>
        </w:tc>
        <w:tc>
          <w:tcPr>
            <w:tcW w:w="1810" w:type="dxa"/>
            <w:shd w:val="clear" w:color="auto" w:fill="FFFFFF" w:themeFill="background1"/>
          </w:tcPr>
          <w:p w14:paraId="3DD4A195" w14:textId="77777777" w:rsidR="00090583" w:rsidRPr="00387F7F" w:rsidRDefault="006219DA" w:rsidP="00654F8B">
            <w:pPr>
              <w:rPr>
                <w:rFonts w:eastAsia="Arial" w:cs="Arial"/>
                <w:b/>
                <w:bCs/>
                <w:color w:val="000000" w:themeColor="text1"/>
                <w:sz w:val="20"/>
                <w:szCs w:val="20"/>
              </w:rPr>
            </w:pPr>
            <w:r w:rsidRPr="00387F7F">
              <w:rPr>
                <w:rFonts w:eastAsia="Arial" w:cs="Arial"/>
                <w:b/>
                <w:bCs/>
                <w:color w:val="000000" w:themeColor="text1"/>
                <w:sz w:val="20"/>
                <w:szCs w:val="20"/>
              </w:rPr>
              <w:t>2021-22</w:t>
            </w:r>
          </w:p>
        </w:tc>
        <w:tc>
          <w:tcPr>
            <w:tcW w:w="1118" w:type="dxa"/>
          </w:tcPr>
          <w:p w14:paraId="21479338" w14:textId="77777777" w:rsidR="00090583" w:rsidRPr="00387F7F" w:rsidRDefault="006219DA" w:rsidP="00654F8B">
            <w:pPr>
              <w:rPr>
                <w:sz w:val="20"/>
                <w:szCs w:val="20"/>
              </w:rPr>
            </w:pPr>
            <w:r w:rsidRPr="00387F7F">
              <w:rPr>
                <w:rFonts w:eastAsia="Arial" w:cs="Arial"/>
                <w:b/>
                <w:bCs/>
                <w:sz w:val="20"/>
                <w:szCs w:val="20"/>
              </w:rPr>
              <w:t>2021/22 Target</w:t>
            </w:r>
          </w:p>
        </w:tc>
      </w:tr>
      <w:tr w:rsidR="00176ACB" w14:paraId="7053E2EB" w14:textId="77777777" w:rsidTr="00654F8B">
        <w:trPr>
          <w:trHeight w:val="1202"/>
        </w:trPr>
        <w:tc>
          <w:tcPr>
            <w:tcW w:w="3327" w:type="dxa"/>
          </w:tcPr>
          <w:p w14:paraId="3A29C241" w14:textId="77777777" w:rsidR="00090583" w:rsidRPr="004329E6" w:rsidRDefault="006219DA" w:rsidP="004329E6">
            <w:pPr>
              <w:pStyle w:val="NoSpacing"/>
              <w:rPr>
                <w:rFonts w:ascii="Arial" w:hAnsi="Arial" w:cs="Arial"/>
              </w:rPr>
            </w:pPr>
            <w:r w:rsidRPr="004329E6">
              <w:rPr>
                <w:rFonts w:ascii="Arial" w:hAnsi="Arial" w:cs="Arial"/>
              </w:rPr>
              <w:t>Percentage primary pupils offered one of top three preferences</w:t>
            </w:r>
          </w:p>
        </w:tc>
        <w:tc>
          <w:tcPr>
            <w:tcW w:w="1398" w:type="dxa"/>
          </w:tcPr>
          <w:p w14:paraId="6F0E022A" w14:textId="77777777" w:rsidR="00090583" w:rsidRDefault="006219DA" w:rsidP="00654F8B">
            <w:r w:rsidRPr="0E9FFDBC">
              <w:rPr>
                <w:rFonts w:eastAsia="Arial" w:cs="Arial"/>
                <w:sz w:val="22"/>
                <w:szCs w:val="22"/>
              </w:rPr>
              <w:t>Annual</w:t>
            </w:r>
          </w:p>
        </w:tc>
        <w:tc>
          <w:tcPr>
            <w:tcW w:w="1531" w:type="dxa"/>
          </w:tcPr>
          <w:p w14:paraId="0775FB33" w14:textId="77777777" w:rsidR="00090583" w:rsidRDefault="006219DA" w:rsidP="00654F8B">
            <w:r w:rsidRPr="0E9FFDBC">
              <w:rPr>
                <w:rFonts w:eastAsia="Arial" w:cs="Arial"/>
                <w:sz w:val="22"/>
                <w:szCs w:val="22"/>
              </w:rPr>
              <w:t>Education and Children's Services</w:t>
            </w:r>
          </w:p>
        </w:tc>
        <w:tc>
          <w:tcPr>
            <w:tcW w:w="839" w:type="dxa"/>
          </w:tcPr>
          <w:p w14:paraId="54328368" w14:textId="77777777" w:rsidR="00090583" w:rsidRDefault="006219DA" w:rsidP="00654F8B">
            <w:r w:rsidRPr="0E9FFDBC">
              <w:rPr>
                <w:rFonts w:eastAsia="Arial" w:cs="Arial"/>
                <w:sz w:val="22"/>
                <w:szCs w:val="22"/>
              </w:rPr>
              <w:t>High</w:t>
            </w:r>
          </w:p>
        </w:tc>
        <w:tc>
          <w:tcPr>
            <w:tcW w:w="1118" w:type="dxa"/>
            <w:shd w:val="clear" w:color="auto" w:fill="C5E0B3" w:themeFill="accent6" w:themeFillTint="66"/>
          </w:tcPr>
          <w:p w14:paraId="30E8093E" w14:textId="77777777" w:rsidR="00090583" w:rsidRDefault="006219DA" w:rsidP="00654F8B">
            <w:r w:rsidRPr="0E9FFDBC">
              <w:rPr>
                <w:rFonts w:eastAsia="Arial" w:cs="Arial"/>
                <w:color w:val="000000" w:themeColor="text1"/>
                <w:sz w:val="22"/>
                <w:szCs w:val="22"/>
              </w:rPr>
              <w:t xml:space="preserve">97.9% </w:t>
            </w:r>
          </w:p>
          <w:p w14:paraId="50B76EE8" w14:textId="77777777" w:rsidR="00090583" w:rsidRDefault="006219DA" w:rsidP="00654F8B">
            <w:r w:rsidRPr="0E9FFDBC">
              <w:rPr>
                <w:rFonts w:eastAsia="Arial" w:cs="Arial"/>
                <w:color w:val="000000" w:themeColor="text1"/>
                <w:sz w:val="22"/>
                <w:szCs w:val="22"/>
              </w:rPr>
              <w:t>(April 19)</w:t>
            </w:r>
          </w:p>
        </w:tc>
        <w:tc>
          <w:tcPr>
            <w:tcW w:w="1541" w:type="dxa"/>
            <w:shd w:val="clear" w:color="auto" w:fill="C5E0B3" w:themeFill="accent6" w:themeFillTint="66"/>
          </w:tcPr>
          <w:p w14:paraId="28269CE3" w14:textId="77777777" w:rsidR="00090583" w:rsidRDefault="006219DA" w:rsidP="00654F8B">
            <w:r w:rsidRPr="0E9FFDBC">
              <w:rPr>
                <w:rFonts w:eastAsia="Arial" w:cs="Arial"/>
                <w:color w:val="000000" w:themeColor="text1"/>
                <w:sz w:val="22"/>
                <w:szCs w:val="22"/>
              </w:rPr>
              <w:t>97.1%</w:t>
            </w:r>
            <w:r>
              <w:br/>
            </w:r>
            <w:r w:rsidRPr="0E9FFDBC">
              <w:rPr>
                <w:rFonts w:eastAsia="Arial" w:cs="Arial"/>
                <w:color w:val="000000" w:themeColor="text1"/>
                <w:sz w:val="22"/>
                <w:szCs w:val="22"/>
              </w:rPr>
              <w:t xml:space="preserve"> (April 20)</w:t>
            </w:r>
          </w:p>
        </w:tc>
        <w:tc>
          <w:tcPr>
            <w:tcW w:w="1094" w:type="dxa"/>
            <w:shd w:val="clear" w:color="auto" w:fill="C5E0B3" w:themeFill="accent6" w:themeFillTint="66"/>
          </w:tcPr>
          <w:p w14:paraId="6C5D8BCD" w14:textId="77777777" w:rsidR="00090583" w:rsidRDefault="006219DA" w:rsidP="00654F8B">
            <w:r w:rsidRPr="0E9FFDBC">
              <w:rPr>
                <w:rFonts w:eastAsia="Arial" w:cs="Arial"/>
                <w:color w:val="000000" w:themeColor="text1"/>
                <w:sz w:val="22"/>
                <w:szCs w:val="22"/>
              </w:rPr>
              <w:t>97.1%</w:t>
            </w:r>
            <w:r>
              <w:br/>
            </w:r>
            <w:r w:rsidRPr="0E9FFDBC">
              <w:rPr>
                <w:rFonts w:eastAsia="Arial" w:cs="Arial"/>
                <w:color w:val="000000" w:themeColor="text1"/>
                <w:sz w:val="22"/>
                <w:szCs w:val="22"/>
              </w:rPr>
              <w:t xml:space="preserve"> (April 21)</w:t>
            </w:r>
          </w:p>
        </w:tc>
        <w:tc>
          <w:tcPr>
            <w:tcW w:w="1810" w:type="dxa"/>
            <w:shd w:val="clear" w:color="auto" w:fill="C5E0B3" w:themeFill="accent6" w:themeFillTint="66"/>
          </w:tcPr>
          <w:p w14:paraId="5BC9216B" w14:textId="77777777" w:rsidR="00090583" w:rsidRDefault="006219DA" w:rsidP="00654F8B">
            <w:r w:rsidRPr="0E9FFDBC">
              <w:rPr>
                <w:rFonts w:eastAsia="Arial" w:cs="Arial"/>
                <w:color w:val="000000" w:themeColor="text1"/>
                <w:sz w:val="22"/>
                <w:szCs w:val="22"/>
              </w:rPr>
              <w:t>98.6%</w:t>
            </w:r>
            <w:r>
              <w:br/>
            </w:r>
            <w:r w:rsidRPr="0E9FFDBC">
              <w:rPr>
                <w:rFonts w:eastAsia="Arial" w:cs="Arial"/>
                <w:color w:val="000000" w:themeColor="text1"/>
                <w:sz w:val="22"/>
                <w:szCs w:val="22"/>
              </w:rPr>
              <w:t xml:space="preserve"> (April 21)</w:t>
            </w:r>
          </w:p>
        </w:tc>
        <w:tc>
          <w:tcPr>
            <w:tcW w:w="1118" w:type="dxa"/>
          </w:tcPr>
          <w:p w14:paraId="4E140014" w14:textId="77777777" w:rsidR="00090583" w:rsidRDefault="006219DA" w:rsidP="00654F8B">
            <w:r w:rsidRPr="0E9FFDBC">
              <w:rPr>
                <w:rFonts w:eastAsia="Arial" w:cs="Arial"/>
                <w:sz w:val="22"/>
                <w:szCs w:val="22"/>
              </w:rPr>
              <w:t>Maintain Quartile 2</w:t>
            </w:r>
          </w:p>
        </w:tc>
      </w:tr>
      <w:tr w:rsidR="00176ACB" w14:paraId="27F50FBD" w14:textId="77777777" w:rsidTr="00654F8B">
        <w:trPr>
          <w:trHeight w:val="1028"/>
        </w:trPr>
        <w:tc>
          <w:tcPr>
            <w:tcW w:w="3327" w:type="dxa"/>
          </w:tcPr>
          <w:p w14:paraId="5D35418A" w14:textId="77777777" w:rsidR="00090583" w:rsidRPr="004329E6" w:rsidRDefault="006219DA" w:rsidP="004329E6">
            <w:pPr>
              <w:pStyle w:val="NoSpacing"/>
              <w:rPr>
                <w:rFonts w:ascii="Arial" w:hAnsi="Arial" w:cs="Arial"/>
              </w:rPr>
            </w:pPr>
            <w:r w:rsidRPr="004329E6">
              <w:rPr>
                <w:rFonts w:ascii="Arial" w:hAnsi="Arial" w:cs="Arial"/>
              </w:rPr>
              <w:t>Percentage secondary pupils offered one of top three preferences</w:t>
            </w:r>
          </w:p>
        </w:tc>
        <w:tc>
          <w:tcPr>
            <w:tcW w:w="1398" w:type="dxa"/>
          </w:tcPr>
          <w:p w14:paraId="5F2021D3" w14:textId="77777777" w:rsidR="00090583" w:rsidRDefault="006219DA" w:rsidP="00654F8B">
            <w:r w:rsidRPr="0E9FFDBC">
              <w:rPr>
                <w:rFonts w:eastAsia="Arial" w:cs="Arial"/>
                <w:sz w:val="22"/>
                <w:szCs w:val="22"/>
              </w:rPr>
              <w:t>Annual</w:t>
            </w:r>
          </w:p>
        </w:tc>
        <w:tc>
          <w:tcPr>
            <w:tcW w:w="1531" w:type="dxa"/>
          </w:tcPr>
          <w:p w14:paraId="6EBE7B8F" w14:textId="77777777" w:rsidR="00090583" w:rsidRDefault="006219DA" w:rsidP="00654F8B">
            <w:r w:rsidRPr="0E9FFDBC">
              <w:rPr>
                <w:rFonts w:eastAsia="Arial" w:cs="Arial"/>
                <w:sz w:val="22"/>
                <w:szCs w:val="22"/>
              </w:rPr>
              <w:t>Education and Children's Services</w:t>
            </w:r>
          </w:p>
        </w:tc>
        <w:tc>
          <w:tcPr>
            <w:tcW w:w="839" w:type="dxa"/>
          </w:tcPr>
          <w:p w14:paraId="1C9709F9" w14:textId="77777777" w:rsidR="00090583" w:rsidRDefault="006219DA" w:rsidP="00654F8B">
            <w:r w:rsidRPr="0E9FFDBC">
              <w:rPr>
                <w:rFonts w:eastAsia="Arial" w:cs="Arial"/>
                <w:sz w:val="22"/>
                <w:szCs w:val="22"/>
              </w:rPr>
              <w:t>High</w:t>
            </w:r>
          </w:p>
        </w:tc>
        <w:tc>
          <w:tcPr>
            <w:tcW w:w="1118" w:type="dxa"/>
            <w:shd w:val="clear" w:color="auto" w:fill="C5E0B3" w:themeFill="accent6" w:themeFillTint="66"/>
          </w:tcPr>
          <w:p w14:paraId="69665405" w14:textId="77777777" w:rsidR="00090583" w:rsidRDefault="006219DA" w:rsidP="00654F8B">
            <w:r w:rsidRPr="0E9FFDBC">
              <w:rPr>
                <w:rFonts w:eastAsia="Arial" w:cs="Arial"/>
                <w:color w:val="000000" w:themeColor="text1"/>
                <w:sz w:val="22"/>
                <w:szCs w:val="22"/>
              </w:rPr>
              <w:t xml:space="preserve">95.3% </w:t>
            </w:r>
          </w:p>
          <w:p w14:paraId="15B2375C" w14:textId="77777777" w:rsidR="00090583" w:rsidRDefault="006219DA" w:rsidP="00654F8B">
            <w:r w:rsidRPr="0E9FFDBC">
              <w:rPr>
                <w:rFonts w:eastAsia="Arial" w:cs="Arial"/>
                <w:color w:val="000000" w:themeColor="text1"/>
                <w:sz w:val="22"/>
                <w:szCs w:val="22"/>
              </w:rPr>
              <w:t>(March 19)</w:t>
            </w:r>
          </w:p>
        </w:tc>
        <w:tc>
          <w:tcPr>
            <w:tcW w:w="1541" w:type="dxa"/>
            <w:shd w:val="clear" w:color="auto" w:fill="C5E0B3" w:themeFill="accent6" w:themeFillTint="66"/>
          </w:tcPr>
          <w:p w14:paraId="71027B57" w14:textId="77777777" w:rsidR="00090583" w:rsidRDefault="006219DA" w:rsidP="00654F8B">
            <w:r w:rsidRPr="0E9FFDBC">
              <w:rPr>
                <w:rFonts w:eastAsia="Arial" w:cs="Arial"/>
                <w:color w:val="000000" w:themeColor="text1"/>
                <w:sz w:val="22"/>
                <w:szCs w:val="22"/>
              </w:rPr>
              <w:t>95.3%</w:t>
            </w:r>
          </w:p>
          <w:p w14:paraId="0742BE48" w14:textId="77777777" w:rsidR="00090583" w:rsidRDefault="006219DA" w:rsidP="00654F8B">
            <w:pPr>
              <w:rPr>
                <w:rFonts w:eastAsia="Arial" w:cs="Arial"/>
                <w:color w:val="000000" w:themeColor="text1"/>
                <w:sz w:val="22"/>
                <w:szCs w:val="22"/>
              </w:rPr>
            </w:pPr>
            <w:r w:rsidRPr="0E9FFDBC">
              <w:rPr>
                <w:rFonts w:eastAsia="Arial" w:cs="Arial"/>
                <w:color w:val="000000" w:themeColor="text1"/>
                <w:sz w:val="22"/>
                <w:szCs w:val="22"/>
              </w:rPr>
              <w:t>(March 20)</w:t>
            </w:r>
          </w:p>
        </w:tc>
        <w:tc>
          <w:tcPr>
            <w:tcW w:w="1094" w:type="dxa"/>
            <w:shd w:val="clear" w:color="auto" w:fill="C5E0B3" w:themeFill="accent6" w:themeFillTint="66"/>
          </w:tcPr>
          <w:p w14:paraId="268A856F" w14:textId="77777777" w:rsidR="00090583" w:rsidRDefault="006219DA" w:rsidP="00654F8B">
            <w:r w:rsidRPr="0E9FFDBC">
              <w:rPr>
                <w:rFonts w:eastAsia="Arial" w:cs="Arial"/>
                <w:color w:val="000000" w:themeColor="text1"/>
                <w:sz w:val="22"/>
                <w:szCs w:val="22"/>
              </w:rPr>
              <w:t>95.3%</w:t>
            </w:r>
          </w:p>
          <w:p w14:paraId="2B2DAC6C" w14:textId="77777777" w:rsidR="00090583" w:rsidRDefault="006219DA" w:rsidP="00654F8B">
            <w:r w:rsidRPr="0E9FFDBC">
              <w:rPr>
                <w:rFonts w:eastAsia="Arial" w:cs="Arial"/>
                <w:color w:val="000000" w:themeColor="text1"/>
                <w:sz w:val="22"/>
                <w:szCs w:val="22"/>
              </w:rPr>
              <w:t>(March 21)</w:t>
            </w:r>
          </w:p>
        </w:tc>
        <w:tc>
          <w:tcPr>
            <w:tcW w:w="1810" w:type="dxa"/>
            <w:shd w:val="clear" w:color="auto" w:fill="C5E0B3" w:themeFill="accent6" w:themeFillTint="66"/>
          </w:tcPr>
          <w:p w14:paraId="123C6E73" w14:textId="77777777" w:rsidR="00090583" w:rsidRDefault="006219DA" w:rsidP="00654F8B">
            <w:r w:rsidRPr="0E9FFDBC">
              <w:rPr>
                <w:rFonts w:eastAsia="Arial" w:cs="Arial"/>
                <w:color w:val="000000" w:themeColor="text1"/>
                <w:sz w:val="22"/>
                <w:szCs w:val="22"/>
              </w:rPr>
              <w:t>96.3%</w:t>
            </w:r>
          </w:p>
          <w:p w14:paraId="3365E2A2" w14:textId="77777777" w:rsidR="00090583" w:rsidRDefault="006219DA" w:rsidP="00654F8B">
            <w:r w:rsidRPr="0E9FFDBC">
              <w:rPr>
                <w:rFonts w:eastAsia="Arial" w:cs="Arial"/>
                <w:color w:val="000000" w:themeColor="text1"/>
                <w:sz w:val="22"/>
                <w:szCs w:val="22"/>
              </w:rPr>
              <w:t>(March 21)</w:t>
            </w:r>
          </w:p>
        </w:tc>
        <w:tc>
          <w:tcPr>
            <w:tcW w:w="1118" w:type="dxa"/>
          </w:tcPr>
          <w:p w14:paraId="66B424CF" w14:textId="77777777" w:rsidR="00090583" w:rsidRDefault="006219DA" w:rsidP="00654F8B">
            <w:r w:rsidRPr="0E9FFDBC">
              <w:rPr>
                <w:rFonts w:eastAsia="Arial" w:cs="Arial"/>
                <w:sz w:val="22"/>
                <w:szCs w:val="22"/>
              </w:rPr>
              <w:t xml:space="preserve">Maintain Quartile 2 </w:t>
            </w:r>
          </w:p>
        </w:tc>
      </w:tr>
    </w:tbl>
    <w:p w14:paraId="7F6986C5" w14:textId="77777777" w:rsidR="00090583" w:rsidRDefault="00090583" w:rsidP="00090583">
      <w:pPr>
        <w:rPr>
          <w:rFonts w:eastAsia="Arial" w:cs="Arial"/>
          <w:b/>
          <w:bCs/>
          <w:color w:val="000000" w:themeColor="text1"/>
          <w:sz w:val="22"/>
          <w:szCs w:val="22"/>
        </w:rPr>
      </w:pPr>
    </w:p>
    <w:p w14:paraId="0E642DDA" w14:textId="7721BABF" w:rsidR="00090583" w:rsidRPr="003D467B" w:rsidRDefault="006219DA" w:rsidP="00090583">
      <w:pPr>
        <w:rPr>
          <w:rFonts w:eastAsia="Arial" w:cs="Arial"/>
          <w:color w:val="000000" w:themeColor="text1"/>
        </w:rPr>
      </w:pPr>
      <w:r w:rsidRPr="003D467B">
        <w:rPr>
          <w:rFonts w:eastAsia="Arial" w:cs="Arial"/>
          <w:b/>
          <w:bCs/>
          <w:color w:val="000000" w:themeColor="text1"/>
        </w:rPr>
        <w:t>School placements</w:t>
      </w:r>
      <w:r w:rsidRPr="003D467B">
        <w:rPr>
          <w:rFonts w:eastAsia="Arial" w:cs="Arial"/>
          <w:color w:val="000000" w:themeColor="text1"/>
        </w:rPr>
        <w:t xml:space="preserve">. Above </w:t>
      </w:r>
      <w:r w:rsidR="00654F8B" w:rsidRPr="003D467B">
        <w:rPr>
          <w:rFonts w:eastAsia="Arial" w:cs="Arial"/>
          <w:color w:val="000000" w:themeColor="text1"/>
        </w:rPr>
        <w:t xml:space="preserve">on </w:t>
      </w:r>
      <w:r w:rsidRPr="003D467B">
        <w:rPr>
          <w:rFonts w:eastAsia="Arial" w:cs="Arial"/>
          <w:color w:val="000000" w:themeColor="text1"/>
        </w:rPr>
        <w:t>target figures previously report to the Committee.  2022/23 admissions figures will be published mid</w:t>
      </w:r>
      <w:r w:rsidR="00842192" w:rsidRPr="003D467B">
        <w:rPr>
          <w:rFonts w:eastAsia="Arial" w:cs="Arial"/>
          <w:color w:val="000000" w:themeColor="text1"/>
        </w:rPr>
        <w:t>-</w:t>
      </w:r>
      <w:r w:rsidRPr="003D467B">
        <w:rPr>
          <w:rFonts w:eastAsia="Arial" w:cs="Arial"/>
          <w:color w:val="000000" w:themeColor="text1"/>
        </w:rPr>
        <w:t>2022.</w:t>
      </w:r>
    </w:p>
    <w:p w14:paraId="0DF9F631" w14:textId="62C13373" w:rsidR="00090583" w:rsidRDefault="00090583" w:rsidP="00090583">
      <w:pPr>
        <w:rPr>
          <w:rFonts w:eastAsia="Arial" w:cs="Arial"/>
          <w:sz w:val="22"/>
          <w:szCs w:val="22"/>
          <w:lang w:eastAsia="en-GB"/>
        </w:rPr>
      </w:pPr>
    </w:p>
    <w:p w14:paraId="28DFBB90" w14:textId="77777777" w:rsidR="00957534" w:rsidRDefault="00957534" w:rsidP="00090583">
      <w:pPr>
        <w:rPr>
          <w:rFonts w:eastAsia="Arial" w:cs="Arial"/>
          <w:sz w:val="22"/>
          <w:szCs w:val="22"/>
          <w:lang w:eastAsia="en-GB"/>
        </w:rPr>
      </w:pPr>
    </w:p>
    <w:tbl>
      <w:tblPr>
        <w:tblW w:w="138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50"/>
        <w:gridCol w:w="1410"/>
        <w:gridCol w:w="1755"/>
        <w:gridCol w:w="1050"/>
        <w:gridCol w:w="1785"/>
        <w:gridCol w:w="1935"/>
        <w:gridCol w:w="1760"/>
        <w:gridCol w:w="1562"/>
      </w:tblGrid>
      <w:tr w:rsidR="00176ACB" w14:paraId="5D9208AA" w14:textId="77777777" w:rsidTr="00654F8B">
        <w:trPr>
          <w:trHeight w:val="285"/>
          <w:jc w:val="center"/>
        </w:trPr>
        <w:tc>
          <w:tcPr>
            <w:tcW w:w="2550" w:type="dxa"/>
            <w:shd w:val="clear" w:color="auto" w:fill="FFFFFF" w:themeFill="background1"/>
          </w:tcPr>
          <w:p w14:paraId="4966666E" w14:textId="77777777" w:rsidR="00090583" w:rsidRPr="00B719CA" w:rsidRDefault="006219DA" w:rsidP="00654F8B">
            <w:pPr>
              <w:rPr>
                <w:sz w:val="20"/>
                <w:szCs w:val="20"/>
              </w:rPr>
            </w:pPr>
            <w:r w:rsidRPr="00B719CA">
              <w:rPr>
                <w:rFonts w:eastAsia="Arial" w:cs="Arial"/>
                <w:b/>
                <w:bCs/>
                <w:sz w:val="20"/>
                <w:szCs w:val="20"/>
              </w:rPr>
              <w:lastRenderedPageBreak/>
              <w:t>Performance Indicator</w:t>
            </w:r>
          </w:p>
        </w:tc>
        <w:tc>
          <w:tcPr>
            <w:tcW w:w="1410" w:type="dxa"/>
            <w:shd w:val="clear" w:color="auto" w:fill="FFFFFF" w:themeFill="background1"/>
          </w:tcPr>
          <w:p w14:paraId="78745F60" w14:textId="77777777" w:rsidR="00090583" w:rsidRPr="00B719CA" w:rsidRDefault="006219DA" w:rsidP="00654F8B">
            <w:pPr>
              <w:rPr>
                <w:sz w:val="20"/>
                <w:szCs w:val="20"/>
              </w:rPr>
            </w:pPr>
            <w:r w:rsidRPr="00B719CA">
              <w:rPr>
                <w:rFonts w:eastAsia="Arial" w:cs="Arial"/>
                <w:b/>
                <w:bCs/>
                <w:color w:val="000000" w:themeColor="text1"/>
                <w:sz w:val="20"/>
                <w:szCs w:val="20"/>
              </w:rPr>
              <w:t>Frequency</w:t>
            </w:r>
          </w:p>
        </w:tc>
        <w:tc>
          <w:tcPr>
            <w:tcW w:w="1755" w:type="dxa"/>
            <w:shd w:val="clear" w:color="auto" w:fill="FFFFFF" w:themeFill="background1"/>
          </w:tcPr>
          <w:p w14:paraId="237BE8C7" w14:textId="77777777" w:rsidR="00090583" w:rsidRPr="00B719CA" w:rsidRDefault="006219DA" w:rsidP="00654F8B">
            <w:pPr>
              <w:rPr>
                <w:sz w:val="20"/>
                <w:szCs w:val="20"/>
              </w:rPr>
            </w:pPr>
            <w:r w:rsidRPr="00B719CA">
              <w:rPr>
                <w:rFonts w:eastAsia="Arial" w:cs="Arial"/>
                <w:b/>
                <w:bCs/>
                <w:color w:val="000000" w:themeColor="text1"/>
                <w:sz w:val="20"/>
                <w:szCs w:val="20"/>
              </w:rPr>
              <w:t xml:space="preserve">Directorate </w:t>
            </w:r>
          </w:p>
        </w:tc>
        <w:tc>
          <w:tcPr>
            <w:tcW w:w="1050" w:type="dxa"/>
            <w:shd w:val="clear" w:color="auto" w:fill="FFFFFF" w:themeFill="background1"/>
          </w:tcPr>
          <w:p w14:paraId="639DDA5B" w14:textId="77777777" w:rsidR="00090583" w:rsidRPr="00B719CA" w:rsidRDefault="006219DA" w:rsidP="00654F8B">
            <w:pPr>
              <w:rPr>
                <w:sz w:val="20"/>
                <w:szCs w:val="20"/>
              </w:rPr>
            </w:pPr>
            <w:r w:rsidRPr="00B719CA">
              <w:rPr>
                <w:rFonts w:eastAsia="Arial" w:cs="Arial"/>
                <w:b/>
                <w:bCs/>
                <w:color w:val="000000" w:themeColor="text1"/>
                <w:sz w:val="20"/>
                <w:szCs w:val="20"/>
              </w:rPr>
              <w:t>Good is</w:t>
            </w:r>
          </w:p>
        </w:tc>
        <w:tc>
          <w:tcPr>
            <w:tcW w:w="1785" w:type="dxa"/>
            <w:shd w:val="clear" w:color="auto" w:fill="FFFFFF" w:themeFill="background1"/>
          </w:tcPr>
          <w:p w14:paraId="39CEBA83" w14:textId="77777777" w:rsidR="00090583" w:rsidRPr="00B719CA" w:rsidRDefault="006219DA" w:rsidP="00654F8B">
            <w:pPr>
              <w:rPr>
                <w:sz w:val="20"/>
                <w:szCs w:val="20"/>
              </w:rPr>
            </w:pPr>
            <w:r w:rsidRPr="00B719CA">
              <w:rPr>
                <w:rFonts w:eastAsia="Arial" w:cs="Arial"/>
                <w:b/>
                <w:bCs/>
                <w:color w:val="000000" w:themeColor="text1"/>
                <w:sz w:val="20"/>
                <w:szCs w:val="20"/>
              </w:rPr>
              <w:t>2017/18 Performance</w:t>
            </w:r>
          </w:p>
        </w:tc>
        <w:tc>
          <w:tcPr>
            <w:tcW w:w="1935" w:type="dxa"/>
            <w:shd w:val="clear" w:color="auto" w:fill="FFFFFF" w:themeFill="background1"/>
          </w:tcPr>
          <w:p w14:paraId="4AD60B2E" w14:textId="77777777" w:rsidR="00090583" w:rsidRPr="00B719CA" w:rsidRDefault="006219DA" w:rsidP="00654F8B">
            <w:pPr>
              <w:rPr>
                <w:sz w:val="20"/>
                <w:szCs w:val="20"/>
              </w:rPr>
            </w:pPr>
            <w:r w:rsidRPr="00B719CA">
              <w:rPr>
                <w:rFonts w:eastAsia="Arial" w:cs="Arial"/>
                <w:b/>
                <w:bCs/>
                <w:color w:val="000000" w:themeColor="text1"/>
                <w:sz w:val="20"/>
                <w:szCs w:val="20"/>
              </w:rPr>
              <w:t>2018/19 Performance</w:t>
            </w:r>
          </w:p>
        </w:tc>
        <w:tc>
          <w:tcPr>
            <w:tcW w:w="1760" w:type="dxa"/>
            <w:shd w:val="clear" w:color="auto" w:fill="FFFFFF" w:themeFill="background1"/>
          </w:tcPr>
          <w:p w14:paraId="1077CA84" w14:textId="77777777" w:rsidR="00090583" w:rsidRPr="00B719CA" w:rsidRDefault="006219DA" w:rsidP="00654F8B">
            <w:pPr>
              <w:rPr>
                <w:sz w:val="20"/>
                <w:szCs w:val="20"/>
              </w:rPr>
            </w:pPr>
            <w:r w:rsidRPr="00B719CA">
              <w:rPr>
                <w:rFonts w:eastAsia="Arial" w:cs="Arial"/>
                <w:b/>
                <w:bCs/>
                <w:color w:val="000000" w:themeColor="text1"/>
                <w:sz w:val="20"/>
                <w:szCs w:val="20"/>
              </w:rPr>
              <w:t>Latest Performance</w:t>
            </w:r>
          </w:p>
        </w:tc>
        <w:tc>
          <w:tcPr>
            <w:tcW w:w="1562" w:type="dxa"/>
            <w:shd w:val="clear" w:color="auto" w:fill="FFFFFF" w:themeFill="background1"/>
          </w:tcPr>
          <w:p w14:paraId="5EA0E585" w14:textId="7C0D0948" w:rsidR="00090583" w:rsidRPr="00B719CA" w:rsidRDefault="006219DA" w:rsidP="00654F8B">
            <w:pPr>
              <w:rPr>
                <w:sz w:val="20"/>
                <w:szCs w:val="20"/>
              </w:rPr>
            </w:pPr>
            <w:r w:rsidRPr="00B719CA">
              <w:rPr>
                <w:rFonts w:eastAsia="Arial" w:cs="Arial"/>
                <w:b/>
                <w:bCs/>
                <w:color w:val="000000" w:themeColor="text1"/>
                <w:sz w:val="20"/>
                <w:szCs w:val="20"/>
              </w:rPr>
              <w:t>202</w:t>
            </w:r>
            <w:r w:rsidR="004039E0">
              <w:rPr>
                <w:rFonts w:eastAsia="Arial" w:cs="Arial"/>
                <w:b/>
                <w:bCs/>
                <w:color w:val="000000" w:themeColor="text1"/>
                <w:sz w:val="20"/>
                <w:szCs w:val="20"/>
              </w:rPr>
              <w:t>1</w:t>
            </w:r>
            <w:r w:rsidRPr="00B719CA">
              <w:rPr>
                <w:rFonts w:eastAsia="Arial" w:cs="Arial"/>
                <w:b/>
                <w:bCs/>
                <w:color w:val="000000" w:themeColor="text1"/>
                <w:sz w:val="20"/>
                <w:szCs w:val="20"/>
              </w:rPr>
              <w:t>/2</w:t>
            </w:r>
            <w:r w:rsidR="004039E0">
              <w:rPr>
                <w:rFonts w:eastAsia="Arial" w:cs="Arial"/>
                <w:b/>
                <w:bCs/>
                <w:color w:val="000000" w:themeColor="text1"/>
                <w:sz w:val="20"/>
                <w:szCs w:val="20"/>
              </w:rPr>
              <w:t>2</w:t>
            </w:r>
            <w:r w:rsidRPr="00B719CA">
              <w:rPr>
                <w:rFonts w:eastAsia="Arial" w:cs="Arial"/>
                <w:b/>
                <w:bCs/>
                <w:color w:val="000000" w:themeColor="text1"/>
                <w:sz w:val="20"/>
                <w:szCs w:val="20"/>
              </w:rPr>
              <w:t xml:space="preserve"> Target</w:t>
            </w:r>
          </w:p>
        </w:tc>
      </w:tr>
      <w:tr w:rsidR="00176ACB" w14:paraId="07486C85" w14:textId="77777777" w:rsidTr="00654F8B">
        <w:trPr>
          <w:trHeight w:val="778"/>
          <w:jc w:val="center"/>
        </w:trPr>
        <w:tc>
          <w:tcPr>
            <w:tcW w:w="2550" w:type="dxa"/>
          </w:tcPr>
          <w:p w14:paraId="46634A6F" w14:textId="77777777" w:rsidR="00090583" w:rsidRDefault="006219DA" w:rsidP="00654F8B">
            <w:pPr>
              <w:jc w:val="left"/>
            </w:pPr>
            <w:r w:rsidRPr="78C3123E">
              <w:rPr>
                <w:rFonts w:eastAsia="Arial" w:cs="Arial"/>
                <w:sz w:val="22"/>
                <w:szCs w:val="22"/>
              </w:rPr>
              <w:t>Proportion of children excluded from school</w:t>
            </w:r>
          </w:p>
        </w:tc>
        <w:tc>
          <w:tcPr>
            <w:tcW w:w="1410" w:type="dxa"/>
          </w:tcPr>
          <w:p w14:paraId="6A2B54A5" w14:textId="77777777" w:rsidR="00090583" w:rsidRDefault="006219DA" w:rsidP="00654F8B">
            <w:r w:rsidRPr="0E9FFDBC">
              <w:rPr>
                <w:rFonts w:eastAsia="Arial" w:cs="Arial"/>
                <w:sz w:val="22"/>
                <w:szCs w:val="22"/>
              </w:rPr>
              <w:t>Quarterly</w:t>
            </w:r>
          </w:p>
        </w:tc>
        <w:tc>
          <w:tcPr>
            <w:tcW w:w="1755" w:type="dxa"/>
          </w:tcPr>
          <w:p w14:paraId="1B5B335B" w14:textId="77777777" w:rsidR="00090583" w:rsidRDefault="006219DA" w:rsidP="00654F8B">
            <w:pPr>
              <w:jc w:val="left"/>
            </w:pPr>
            <w:r w:rsidRPr="78C3123E">
              <w:rPr>
                <w:rFonts w:eastAsia="Arial" w:cs="Arial"/>
                <w:sz w:val="22"/>
                <w:szCs w:val="22"/>
              </w:rPr>
              <w:t>Education and Children's Services</w:t>
            </w:r>
          </w:p>
        </w:tc>
        <w:tc>
          <w:tcPr>
            <w:tcW w:w="1050" w:type="dxa"/>
          </w:tcPr>
          <w:p w14:paraId="14CDF5BD" w14:textId="77777777" w:rsidR="00090583" w:rsidRDefault="006219DA" w:rsidP="00654F8B">
            <w:r w:rsidRPr="0E9FFDBC">
              <w:rPr>
                <w:rFonts w:eastAsia="Arial" w:cs="Arial"/>
                <w:sz w:val="22"/>
                <w:szCs w:val="22"/>
              </w:rPr>
              <w:t>Low</w:t>
            </w:r>
          </w:p>
        </w:tc>
        <w:tc>
          <w:tcPr>
            <w:tcW w:w="1785" w:type="dxa"/>
            <w:shd w:val="clear" w:color="auto" w:fill="FF0000"/>
          </w:tcPr>
          <w:p w14:paraId="3C5918AB" w14:textId="77777777" w:rsidR="00090583" w:rsidRDefault="006219DA" w:rsidP="00654F8B">
            <w:pPr>
              <w:jc w:val="center"/>
              <w:rPr>
                <w:rFonts w:eastAsia="Arial" w:cs="Arial"/>
                <w:color w:val="FFFFFF" w:themeColor="background1"/>
                <w:sz w:val="22"/>
                <w:szCs w:val="22"/>
              </w:rPr>
            </w:pPr>
            <w:r w:rsidRPr="78C3123E">
              <w:rPr>
                <w:rFonts w:eastAsia="Arial" w:cs="Arial"/>
                <w:color w:val="FFFFFF" w:themeColor="background1"/>
                <w:sz w:val="22"/>
                <w:szCs w:val="22"/>
              </w:rPr>
              <w:t xml:space="preserve">0.18% (2017/18) </w:t>
            </w:r>
          </w:p>
        </w:tc>
        <w:tc>
          <w:tcPr>
            <w:tcW w:w="1935" w:type="dxa"/>
            <w:shd w:val="clear" w:color="auto" w:fill="FF0000"/>
          </w:tcPr>
          <w:p w14:paraId="41143D20" w14:textId="77777777" w:rsidR="00090583" w:rsidRDefault="006219DA" w:rsidP="00654F8B">
            <w:pPr>
              <w:jc w:val="center"/>
              <w:rPr>
                <w:rFonts w:eastAsia="Arial" w:cs="Arial"/>
                <w:color w:val="FFFFFF" w:themeColor="background1"/>
                <w:sz w:val="22"/>
                <w:szCs w:val="22"/>
              </w:rPr>
            </w:pPr>
            <w:r w:rsidRPr="78C3123E">
              <w:rPr>
                <w:rFonts w:eastAsia="Arial" w:cs="Arial"/>
                <w:color w:val="FFFFFF" w:themeColor="background1"/>
                <w:sz w:val="22"/>
                <w:szCs w:val="22"/>
              </w:rPr>
              <w:t>0.19% (2018/19)</w:t>
            </w:r>
          </w:p>
          <w:p w14:paraId="4079C8C5" w14:textId="77777777" w:rsidR="00090583" w:rsidRDefault="006219DA" w:rsidP="00654F8B">
            <w:pPr>
              <w:jc w:val="center"/>
              <w:rPr>
                <w:rFonts w:eastAsia="Arial" w:cs="Arial"/>
                <w:color w:val="FFFFFF" w:themeColor="background1"/>
                <w:sz w:val="22"/>
                <w:szCs w:val="22"/>
              </w:rPr>
            </w:pPr>
            <w:r w:rsidRPr="78C3123E">
              <w:rPr>
                <w:rFonts w:eastAsia="Arial" w:cs="Arial"/>
                <w:color w:val="FFFFFF" w:themeColor="background1"/>
                <w:sz w:val="22"/>
                <w:szCs w:val="22"/>
              </w:rPr>
              <w:t xml:space="preserve"> </w:t>
            </w:r>
          </w:p>
        </w:tc>
        <w:tc>
          <w:tcPr>
            <w:tcW w:w="1760" w:type="dxa"/>
            <w:shd w:val="clear" w:color="auto" w:fill="C5E0B3" w:themeFill="accent6" w:themeFillTint="66"/>
          </w:tcPr>
          <w:p w14:paraId="1B1806BC" w14:textId="77777777" w:rsidR="00090583" w:rsidRDefault="006219DA" w:rsidP="00654F8B">
            <w:pPr>
              <w:jc w:val="center"/>
            </w:pPr>
            <w:r w:rsidRPr="77830264">
              <w:rPr>
                <w:rFonts w:eastAsia="Arial" w:cs="Arial"/>
                <w:color w:val="000000" w:themeColor="text1"/>
                <w:sz w:val="22"/>
                <w:szCs w:val="22"/>
              </w:rPr>
              <w:t>0.09%</w:t>
            </w:r>
            <w:r>
              <w:br/>
            </w:r>
            <w:r w:rsidRPr="77830264">
              <w:rPr>
                <w:rFonts w:eastAsia="Arial" w:cs="Arial"/>
                <w:color w:val="000000" w:themeColor="text1"/>
                <w:sz w:val="22"/>
                <w:szCs w:val="22"/>
              </w:rPr>
              <w:t>(2019/20)</w:t>
            </w:r>
          </w:p>
        </w:tc>
        <w:tc>
          <w:tcPr>
            <w:tcW w:w="1562" w:type="dxa"/>
          </w:tcPr>
          <w:p w14:paraId="03C7139F" w14:textId="77777777" w:rsidR="00090583" w:rsidRDefault="006219DA" w:rsidP="00654F8B">
            <w:pPr>
              <w:jc w:val="center"/>
            </w:pPr>
            <w:r w:rsidRPr="0E9FFDBC">
              <w:rPr>
                <w:rFonts w:eastAsia="Arial" w:cs="Arial"/>
                <w:sz w:val="22"/>
                <w:szCs w:val="22"/>
              </w:rPr>
              <w:t>0.09%</w:t>
            </w:r>
          </w:p>
        </w:tc>
      </w:tr>
    </w:tbl>
    <w:p w14:paraId="0077CED0" w14:textId="77777777" w:rsidR="00090583" w:rsidRDefault="006219DA" w:rsidP="00090583">
      <w:r w:rsidRPr="0E9FFDBC">
        <w:rPr>
          <w:rFonts w:eastAsia="Arial" w:cs="Arial"/>
          <w:color w:val="000000" w:themeColor="text1"/>
        </w:rPr>
        <w:t xml:space="preserve"> </w:t>
      </w:r>
    </w:p>
    <w:p w14:paraId="0F45A049" w14:textId="4DB33EC7" w:rsidR="00090583" w:rsidRPr="003D467B" w:rsidRDefault="006219DA" w:rsidP="00090583">
      <w:pPr>
        <w:pStyle w:val="NoSpacing"/>
        <w:jc w:val="both"/>
        <w:rPr>
          <w:rFonts w:ascii="Arial" w:eastAsia="Arial" w:hAnsi="Arial" w:cs="Arial"/>
          <w:sz w:val="24"/>
          <w:szCs w:val="24"/>
          <w:highlight w:val="yellow"/>
        </w:rPr>
      </w:pPr>
      <w:r w:rsidRPr="003D467B">
        <w:rPr>
          <w:rFonts w:ascii="Arial" w:eastAsia="Arial" w:hAnsi="Arial" w:cs="Arial"/>
          <w:b/>
          <w:bCs/>
          <w:color w:val="000000" w:themeColor="text1"/>
          <w:sz w:val="24"/>
          <w:szCs w:val="24"/>
        </w:rPr>
        <w:t>Exclusions.</w:t>
      </w:r>
      <w:r w:rsidRPr="003D467B">
        <w:rPr>
          <w:rFonts w:ascii="Arial" w:eastAsia="Arial" w:hAnsi="Arial" w:cs="Arial"/>
          <w:color w:val="000000" w:themeColor="text1"/>
          <w:sz w:val="24"/>
          <w:szCs w:val="24"/>
        </w:rPr>
        <w:t xml:space="preserve"> Above on</w:t>
      </w:r>
      <w:r w:rsidR="00654F8B" w:rsidRPr="003D467B">
        <w:rPr>
          <w:rFonts w:ascii="Arial" w:eastAsia="Arial" w:hAnsi="Arial" w:cs="Arial"/>
          <w:color w:val="000000" w:themeColor="text1"/>
          <w:sz w:val="24"/>
          <w:szCs w:val="24"/>
        </w:rPr>
        <w:t xml:space="preserve"> </w:t>
      </w:r>
      <w:r w:rsidRPr="003D467B">
        <w:rPr>
          <w:rFonts w:ascii="Arial" w:eastAsia="Arial" w:hAnsi="Arial" w:cs="Arial"/>
          <w:color w:val="000000" w:themeColor="text1"/>
          <w:sz w:val="24"/>
          <w:szCs w:val="24"/>
        </w:rPr>
        <w:t>target figures previously report to the Committee. 2020/21 exclusion figures will be published July 2022.</w:t>
      </w:r>
    </w:p>
    <w:tbl>
      <w:tblPr>
        <w:tblW w:w="14026" w:type="dxa"/>
        <w:tblLayout w:type="fixed"/>
        <w:tblLook w:val="04A0" w:firstRow="1" w:lastRow="0" w:firstColumn="1" w:lastColumn="0" w:noHBand="0" w:noVBand="1"/>
      </w:tblPr>
      <w:tblGrid>
        <w:gridCol w:w="2325"/>
        <w:gridCol w:w="1245"/>
        <w:gridCol w:w="1440"/>
        <w:gridCol w:w="885"/>
        <w:gridCol w:w="1560"/>
        <w:gridCol w:w="1710"/>
        <w:gridCol w:w="1530"/>
        <w:gridCol w:w="1515"/>
        <w:gridCol w:w="1816"/>
      </w:tblGrid>
      <w:tr w:rsidR="00176ACB" w14:paraId="0FC970D1" w14:textId="77777777" w:rsidTr="00170D99">
        <w:trPr>
          <w:trHeight w:val="540"/>
        </w:trPr>
        <w:tc>
          <w:tcPr>
            <w:tcW w:w="2325" w:type="dxa"/>
            <w:tcBorders>
              <w:top w:val="single" w:sz="6" w:space="0" w:color="auto"/>
              <w:left w:val="single" w:sz="6" w:space="0" w:color="auto"/>
              <w:bottom w:val="single" w:sz="6" w:space="0" w:color="auto"/>
              <w:right w:val="single" w:sz="6" w:space="0" w:color="auto"/>
            </w:tcBorders>
          </w:tcPr>
          <w:p w14:paraId="0744F429" w14:textId="77777777" w:rsidR="00170D99" w:rsidRDefault="006219DA" w:rsidP="00654F8B">
            <w:pPr>
              <w:rPr>
                <w:rFonts w:eastAsia="Arial" w:cs="Arial"/>
                <w:color w:val="000000" w:themeColor="text1"/>
                <w:sz w:val="20"/>
                <w:szCs w:val="20"/>
              </w:rPr>
            </w:pPr>
            <w:r w:rsidRPr="0D5360B6">
              <w:rPr>
                <w:rFonts w:eastAsia="Arial" w:cs="Arial"/>
                <w:b/>
                <w:bCs/>
                <w:color w:val="000000" w:themeColor="text1"/>
                <w:sz w:val="20"/>
                <w:szCs w:val="20"/>
              </w:rPr>
              <w:t>Performance Indicator</w:t>
            </w:r>
            <w:r w:rsidRPr="0D5360B6">
              <w:rPr>
                <w:rFonts w:eastAsia="Arial" w:cs="Arial"/>
                <w:color w:val="000000" w:themeColor="text1"/>
                <w:sz w:val="20"/>
                <w:szCs w:val="20"/>
              </w:rPr>
              <w:t xml:space="preserve"> </w:t>
            </w:r>
          </w:p>
        </w:tc>
        <w:tc>
          <w:tcPr>
            <w:tcW w:w="1245" w:type="dxa"/>
            <w:tcBorders>
              <w:top w:val="single" w:sz="6" w:space="0" w:color="auto"/>
              <w:left w:val="single" w:sz="6" w:space="0" w:color="auto"/>
              <w:bottom w:val="single" w:sz="6" w:space="0" w:color="auto"/>
              <w:right w:val="single" w:sz="6" w:space="0" w:color="auto"/>
            </w:tcBorders>
          </w:tcPr>
          <w:p w14:paraId="7B577938" w14:textId="77777777" w:rsidR="00170D99" w:rsidRDefault="006219DA" w:rsidP="00654F8B">
            <w:pPr>
              <w:rPr>
                <w:rFonts w:eastAsia="Arial" w:cs="Arial"/>
                <w:color w:val="000000" w:themeColor="text1"/>
                <w:sz w:val="20"/>
                <w:szCs w:val="20"/>
              </w:rPr>
            </w:pPr>
            <w:r w:rsidRPr="0D5360B6">
              <w:rPr>
                <w:rFonts w:eastAsia="Arial" w:cs="Arial"/>
                <w:b/>
                <w:bCs/>
                <w:color w:val="000000" w:themeColor="text1"/>
                <w:sz w:val="20"/>
                <w:szCs w:val="20"/>
              </w:rPr>
              <w:t>Frequency</w:t>
            </w:r>
          </w:p>
        </w:tc>
        <w:tc>
          <w:tcPr>
            <w:tcW w:w="1440" w:type="dxa"/>
            <w:tcBorders>
              <w:top w:val="single" w:sz="6" w:space="0" w:color="auto"/>
              <w:left w:val="single" w:sz="6" w:space="0" w:color="auto"/>
              <w:bottom w:val="single" w:sz="6" w:space="0" w:color="auto"/>
              <w:right w:val="single" w:sz="6" w:space="0" w:color="auto"/>
            </w:tcBorders>
          </w:tcPr>
          <w:p w14:paraId="65D25F9D" w14:textId="77777777" w:rsidR="00170D99" w:rsidRDefault="006219DA" w:rsidP="00654F8B">
            <w:pPr>
              <w:rPr>
                <w:rFonts w:eastAsia="Arial" w:cs="Arial"/>
                <w:color w:val="000000" w:themeColor="text1"/>
                <w:sz w:val="20"/>
                <w:szCs w:val="20"/>
              </w:rPr>
            </w:pPr>
            <w:r w:rsidRPr="0D5360B6">
              <w:rPr>
                <w:rFonts w:eastAsia="Arial" w:cs="Arial"/>
                <w:b/>
                <w:bCs/>
                <w:color w:val="000000" w:themeColor="text1"/>
                <w:sz w:val="20"/>
                <w:szCs w:val="20"/>
              </w:rPr>
              <w:t xml:space="preserve">Directorate </w:t>
            </w:r>
            <w:r w:rsidRPr="0D5360B6">
              <w:rPr>
                <w:rFonts w:eastAsia="Arial" w:cs="Arial"/>
                <w:color w:val="000000" w:themeColor="text1"/>
                <w:sz w:val="20"/>
                <w:szCs w:val="20"/>
              </w:rPr>
              <w:t xml:space="preserve"> </w:t>
            </w:r>
          </w:p>
        </w:tc>
        <w:tc>
          <w:tcPr>
            <w:tcW w:w="885" w:type="dxa"/>
            <w:tcBorders>
              <w:top w:val="single" w:sz="6" w:space="0" w:color="auto"/>
              <w:left w:val="single" w:sz="6" w:space="0" w:color="auto"/>
              <w:bottom w:val="single" w:sz="6" w:space="0" w:color="auto"/>
              <w:right w:val="single" w:sz="6" w:space="0" w:color="auto"/>
            </w:tcBorders>
          </w:tcPr>
          <w:p w14:paraId="52AAF70E" w14:textId="77777777" w:rsidR="00170D99" w:rsidRDefault="006219DA" w:rsidP="00654F8B">
            <w:pPr>
              <w:rPr>
                <w:rFonts w:eastAsia="Arial" w:cs="Arial"/>
                <w:color w:val="000000" w:themeColor="text1"/>
                <w:sz w:val="20"/>
                <w:szCs w:val="20"/>
              </w:rPr>
            </w:pPr>
            <w:r w:rsidRPr="0D5360B6">
              <w:rPr>
                <w:rFonts w:eastAsia="Arial" w:cs="Arial"/>
                <w:b/>
                <w:bCs/>
                <w:color w:val="000000" w:themeColor="text1"/>
                <w:sz w:val="20"/>
                <w:szCs w:val="20"/>
              </w:rPr>
              <w:t>Good is</w:t>
            </w:r>
            <w:r w:rsidRPr="0D5360B6">
              <w:rPr>
                <w:rFonts w:eastAsia="Arial" w:cs="Arial"/>
                <w:color w:val="000000" w:themeColor="text1"/>
                <w:sz w:val="20"/>
                <w:szCs w:val="20"/>
              </w:rPr>
              <w:t xml:space="preserve"> </w:t>
            </w:r>
          </w:p>
        </w:tc>
        <w:tc>
          <w:tcPr>
            <w:tcW w:w="1560" w:type="dxa"/>
            <w:tcBorders>
              <w:top w:val="single" w:sz="6" w:space="0" w:color="auto"/>
              <w:left w:val="single" w:sz="6" w:space="0" w:color="auto"/>
              <w:bottom w:val="single" w:sz="6" w:space="0" w:color="auto"/>
              <w:right w:val="single" w:sz="6" w:space="0" w:color="auto"/>
            </w:tcBorders>
          </w:tcPr>
          <w:p w14:paraId="03D4B8F2" w14:textId="77777777" w:rsidR="00170D99" w:rsidRDefault="006219DA" w:rsidP="00654F8B">
            <w:pPr>
              <w:rPr>
                <w:rFonts w:eastAsia="Arial" w:cs="Arial"/>
                <w:color w:val="000000" w:themeColor="text1"/>
                <w:sz w:val="20"/>
                <w:szCs w:val="20"/>
              </w:rPr>
            </w:pPr>
            <w:r w:rsidRPr="0D5360B6">
              <w:rPr>
                <w:rFonts w:eastAsia="Arial" w:cs="Arial"/>
                <w:b/>
                <w:bCs/>
                <w:color w:val="000000" w:themeColor="text1"/>
                <w:sz w:val="20"/>
                <w:szCs w:val="20"/>
              </w:rPr>
              <w:t>2019/20 Outturn</w:t>
            </w:r>
            <w:r w:rsidRPr="0D5360B6">
              <w:rPr>
                <w:rFonts w:eastAsia="Arial" w:cs="Arial"/>
                <w:color w:val="000000" w:themeColor="text1"/>
                <w:sz w:val="20"/>
                <w:szCs w:val="20"/>
              </w:rPr>
              <w:t xml:space="preserve"> </w:t>
            </w:r>
          </w:p>
        </w:tc>
        <w:tc>
          <w:tcPr>
            <w:tcW w:w="1710" w:type="dxa"/>
            <w:tcBorders>
              <w:top w:val="single" w:sz="6" w:space="0" w:color="auto"/>
              <w:left w:val="single" w:sz="6" w:space="0" w:color="auto"/>
              <w:bottom w:val="single" w:sz="6" w:space="0" w:color="auto"/>
              <w:right w:val="single" w:sz="6" w:space="0" w:color="auto"/>
            </w:tcBorders>
          </w:tcPr>
          <w:p w14:paraId="12C7BBC3" w14:textId="77777777" w:rsidR="00170D99" w:rsidRDefault="006219DA" w:rsidP="00654F8B">
            <w:pPr>
              <w:jc w:val="left"/>
              <w:rPr>
                <w:rFonts w:eastAsia="Arial" w:cs="Arial"/>
                <w:color w:val="000000" w:themeColor="text1"/>
                <w:sz w:val="20"/>
                <w:szCs w:val="20"/>
              </w:rPr>
            </w:pPr>
            <w:r w:rsidRPr="0D5360B6">
              <w:rPr>
                <w:rFonts w:eastAsia="Arial" w:cs="Arial"/>
                <w:b/>
                <w:bCs/>
                <w:color w:val="000000" w:themeColor="text1"/>
                <w:sz w:val="20"/>
                <w:szCs w:val="20"/>
              </w:rPr>
              <w:t xml:space="preserve"> 2020/21 Outturn</w:t>
            </w:r>
          </w:p>
        </w:tc>
        <w:tc>
          <w:tcPr>
            <w:tcW w:w="1530" w:type="dxa"/>
            <w:tcBorders>
              <w:top w:val="single" w:sz="6" w:space="0" w:color="auto"/>
              <w:left w:val="single" w:sz="6" w:space="0" w:color="auto"/>
              <w:bottom w:val="single" w:sz="6" w:space="0" w:color="auto"/>
              <w:right w:val="single" w:sz="6" w:space="0" w:color="auto"/>
            </w:tcBorders>
          </w:tcPr>
          <w:p w14:paraId="137AE2E3" w14:textId="77777777" w:rsidR="00170D99" w:rsidRDefault="006219DA" w:rsidP="00654F8B">
            <w:pPr>
              <w:rPr>
                <w:rFonts w:eastAsia="Arial" w:cs="Arial"/>
                <w:color w:val="000000" w:themeColor="text1"/>
                <w:sz w:val="20"/>
                <w:szCs w:val="20"/>
              </w:rPr>
            </w:pPr>
            <w:r w:rsidRPr="0D5360B6">
              <w:rPr>
                <w:rFonts w:eastAsia="Arial" w:cs="Arial"/>
                <w:b/>
                <w:bCs/>
                <w:color w:val="000000" w:themeColor="text1"/>
                <w:sz w:val="20"/>
                <w:szCs w:val="20"/>
              </w:rPr>
              <w:t>2020/21 Quarter 1 (April –June)</w:t>
            </w:r>
            <w:r w:rsidRPr="0D5360B6">
              <w:rPr>
                <w:rFonts w:eastAsia="Arial" w:cs="Arial"/>
                <w:color w:val="000000" w:themeColor="text1"/>
                <w:sz w:val="20"/>
                <w:szCs w:val="20"/>
              </w:rPr>
              <w:t xml:space="preserve"> </w:t>
            </w:r>
          </w:p>
        </w:tc>
        <w:tc>
          <w:tcPr>
            <w:tcW w:w="1515" w:type="dxa"/>
            <w:tcBorders>
              <w:top w:val="single" w:sz="6" w:space="0" w:color="auto"/>
              <w:left w:val="single" w:sz="6" w:space="0" w:color="auto"/>
              <w:bottom w:val="single" w:sz="6" w:space="0" w:color="auto"/>
              <w:right w:val="single" w:sz="6" w:space="0" w:color="auto"/>
            </w:tcBorders>
          </w:tcPr>
          <w:p w14:paraId="6C5ED709" w14:textId="77777777" w:rsidR="00170D99" w:rsidRDefault="006219DA" w:rsidP="00654F8B">
            <w:pPr>
              <w:rPr>
                <w:rFonts w:eastAsia="Arial" w:cs="Arial"/>
                <w:color w:val="000000" w:themeColor="text1"/>
                <w:sz w:val="20"/>
                <w:szCs w:val="20"/>
              </w:rPr>
            </w:pPr>
            <w:r w:rsidRPr="0D5360B6">
              <w:rPr>
                <w:rFonts w:eastAsia="Arial" w:cs="Arial"/>
                <w:b/>
                <w:bCs/>
                <w:color w:val="000000" w:themeColor="text1"/>
                <w:sz w:val="20"/>
                <w:szCs w:val="20"/>
              </w:rPr>
              <w:t>2021/22 Quarter 1 (April –June)</w:t>
            </w:r>
            <w:r w:rsidRPr="0D5360B6">
              <w:rPr>
                <w:rFonts w:eastAsia="Arial" w:cs="Arial"/>
                <w:color w:val="000000" w:themeColor="text1"/>
                <w:sz w:val="20"/>
                <w:szCs w:val="20"/>
              </w:rPr>
              <w:t xml:space="preserve"> </w:t>
            </w:r>
          </w:p>
        </w:tc>
        <w:tc>
          <w:tcPr>
            <w:tcW w:w="1816" w:type="dxa"/>
            <w:tcBorders>
              <w:top w:val="single" w:sz="6" w:space="0" w:color="auto"/>
              <w:left w:val="single" w:sz="6" w:space="0" w:color="auto"/>
              <w:bottom w:val="single" w:sz="6" w:space="0" w:color="auto"/>
              <w:right w:val="single" w:sz="6" w:space="0" w:color="auto"/>
            </w:tcBorders>
          </w:tcPr>
          <w:p w14:paraId="0D6C536F" w14:textId="44BCA1E4" w:rsidR="00170D99" w:rsidRDefault="006219DA" w:rsidP="00654F8B">
            <w:pPr>
              <w:rPr>
                <w:rFonts w:eastAsia="Arial" w:cs="Arial"/>
                <w:color w:val="000000" w:themeColor="text1"/>
                <w:sz w:val="20"/>
                <w:szCs w:val="20"/>
              </w:rPr>
            </w:pPr>
            <w:r w:rsidRPr="0D5360B6">
              <w:rPr>
                <w:rFonts w:eastAsia="Arial" w:cs="Arial"/>
                <w:b/>
                <w:bCs/>
                <w:color w:val="000000" w:themeColor="text1"/>
                <w:sz w:val="20"/>
                <w:szCs w:val="20"/>
              </w:rPr>
              <w:t>202</w:t>
            </w:r>
            <w:r w:rsidR="004039E0">
              <w:rPr>
                <w:rFonts w:eastAsia="Arial" w:cs="Arial"/>
                <w:b/>
                <w:bCs/>
                <w:color w:val="000000" w:themeColor="text1"/>
                <w:sz w:val="20"/>
                <w:szCs w:val="20"/>
              </w:rPr>
              <w:t>1</w:t>
            </w:r>
            <w:r w:rsidRPr="0D5360B6">
              <w:rPr>
                <w:rFonts w:eastAsia="Arial" w:cs="Arial"/>
                <w:b/>
                <w:bCs/>
                <w:color w:val="000000" w:themeColor="text1"/>
                <w:sz w:val="20"/>
                <w:szCs w:val="20"/>
              </w:rPr>
              <w:t>/2</w:t>
            </w:r>
            <w:r w:rsidR="004039E0">
              <w:rPr>
                <w:rFonts w:eastAsia="Arial" w:cs="Arial"/>
                <w:b/>
                <w:bCs/>
                <w:color w:val="000000" w:themeColor="text1"/>
                <w:sz w:val="20"/>
                <w:szCs w:val="20"/>
              </w:rPr>
              <w:t>2</w:t>
            </w:r>
            <w:r w:rsidRPr="0D5360B6">
              <w:rPr>
                <w:rFonts w:eastAsia="Arial" w:cs="Arial"/>
                <w:b/>
                <w:bCs/>
                <w:color w:val="000000" w:themeColor="text1"/>
                <w:sz w:val="20"/>
                <w:szCs w:val="20"/>
              </w:rPr>
              <w:t xml:space="preserve"> Target</w:t>
            </w:r>
            <w:r w:rsidRPr="0D5360B6">
              <w:rPr>
                <w:rFonts w:eastAsia="Arial" w:cs="Arial"/>
                <w:color w:val="000000" w:themeColor="text1"/>
                <w:sz w:val="20"/>
                <w:szCs w:val="20"/>
              </w:rPr>
              <w:t xml:space="preserve"> </w:t>
            </w:r>
          </w:p>
        </w:tc>
      </w:tr>
      <w:tr w:rsidR="00176ACB" w14:paraId="5252EA6E" w14:textId="77777777" w:rsidTr="00170D99">
        <w:trPr>
          <w:trHeight w:val="945"/>
        </w:trPr>
        <w:tc>
          <w:tcPr>
            <w:tcW w:w="2325" w:type="dxa"/>
            <w:tcBorders>
              <w:top w:val="single" w:sz="6" w:space="0" w:color="auto"/>
              <w:left w:val="single" w:sz="6" w:space="0" w:color="auto"/>
              <w:bottom w:val="single" w:sz="6" w:space="0" w:color="auto"/>
              <w:right w:val="single" w:sz="6" w:space="0" w:color="auto"/>
            </w:tcBorders>
          </w:tcPr>
          <w:p w14:paraId="3DF9AAD6" w14:textId="77777777" w:rsidR="00170D99" w:rsidRDefault="006219DA" w:rsidP="00654F8B">
            <w:pPr>
              <w:jc w:val="left"/>
              <w:rPr>
                <w:rFonts w:eastAsia="Arial" w:cs="Arial"/>
                <w:color w:val="000000" w:themeColor="text1"/>
                <w:sz w:val="22"/>
                <w:szCs w:val="22"/>
              </w:rPr>
            </w:pPr>
            <w:r w:rsidRPr="69CB9C34">
              <w:rPr>
                <w:rFonts w:eastAsia="Arial" w:cs="Arial"/>
                <w:color w:val="000000" w:themeColor="text1"/>
                <w:sz w:val="22"/>
                <w:szCs w:val="22"/>
              </w:rPr>
              <w:t xml:space="preserve">Percentage of young people in employment education or training (EET) </w:t>
            </w:r>
          </w:p>
        </w:tc>
        <w:tc>
          <w:tcPr>
            <w:tcW w:w="1245" w:type="dxa"/>
            <w:tcBorders>
              <w:top w:val="single" w:sz="6" w:space="0" w:color="auto"/>
              <w:left w:val="single" w:sz="6" w:space="0" w:color="auto"/>
              <w:bottom w:val="single" w:sz="6" w:space="0" w:color="auto"/>
              <w:right w:val="single" w:sz="6" w:space="0" w:color="auto"/>
            </w:tcBorders>
          </w:tcPr>
          <w:p w14:paraId="2E1BB454" w14:textId="77777777" w:rsidR="00170D99" w:rsidRDefault="006219DA" w:rsidP="00654F8B">
            <w:pPr>
              <w:rPr>
                <w:rFonts w:eastAsia="Arial" w:cs="Arial"/>
                <w:color w:val="000000" w:themeColor="text1"/>
                <w:sz w:val="22"/>
                <w:szCs w:val="22"/>
              </w:rPr>
            </w:pPr>
            <w:r w:rsidRPr="69CB9C34">
              <w:rPr>
                <w:rFonts w:eastAsia="Arial" w:cs="Arial"/>
                <w:color w:val="000000" w:themeColor="text1"/>
                <w:sz w:val="22"/>
                <w:szCs w:val="22"/>
              </w:rPr>
              <w:t xml:space="preserve">Quarterly </w:t>
            </w:r>
          </w:p>
        </w:tc>
        <w:tc>
          <w:tcPr>
            <w:tcW w:w="1440" w:type="dxa"/>
            <w:tcBorders>
              <w:top w:val="single" w:sz="6" w:space="0" w:color="auto"/>
              <w:left w:val="single" w:sz="6" w:space="0" w:color="auto"/>
              <w:bottom w:val="single" w:sz="6" w:space="0" w:color="auto"/>
              <w:right w:val="single" w:sz="6" w:space="0" w:color="auto"/>
            </w:tcBorders>
          </w:tcPr>
          <w:p w14:paraId="77E1B329" w14:textId="77777777" w:rsidR="00170D99" w:rsidRDefault="006219DA" w:rsidP="00654F8B">
            <w:pPr>
              <w:rPr>
                <w:rFonts w:eastAsia="Arial" w:cs="Arial"/>
                <w:color w:val="000000" w:themeColor="text1"/>
                <w:sz w:val="22"/>
                <w:szCs w:val="22"/>
              </w:rPr>
            </w:pPr>
            <w:r w:rsidRPr="69CB9C34">
              <w:rPr>
                <w:rFonts w:eastAsia="Arial" w:cs="Arial"/>
                <w:color w:val="000000" w:themeColor="text1"/>
                <w:sz w:val="22"/>
                <w:szCs w:val="22"/>
              </w:rPr>
              <w:t xml:space="preserve">Education and Children's Services </w:t>
            </w:r>
          </w:p>
        </w:tc>
        <w:tc>
          <w:tcPr>
            <w:tcW w:w="885" w:type="dxa"/>
            <w:tcBorders>
              <w:top w:val="single" w:sz="6" w:space="0" w:color="auto"/>
              <w:left w:val="single" w:sz="6" w:space="0" w:color="auto"/>
              <w:bottom w:val="single" w:sz="6" w:space="0" w:color="auto"/>
              <w:right w:val="single" w:sz="6" w:space="0" w:color="auto"/>
            </w:tcBorders>
          </w:tcPr>
          <w:p w14:paraId="28A31206" w14:textId="77777777" w:rsidR="00170D99" w:rsidRDefault="006219DA" w:rsidP="00654F8B">
            <w:pPr>
              <w:rPr>
                <w:rFonts w:eastAsia="Arial" w:cs="Arial"/>
                <w:color w:val="000000" w:themeColor="text1"/>
                <w:sz w:val="22"/>
                <w:szCs w:val="22"/>
              </w:rPr>
            </w:pPr>
            <w:r w:rsidRPr="69CB9C34">
              <w:rPr>
                <w:rFonts w:eastAsia="Arial" w:cs="Arial"/>
                <w:color w:val="000000" w:themeColor="text1"/>
                <w:sz w:val="22"/>
                <w:szCs w:val="22"/>
              </w:rPr>
              <w:t xml:space="preserve">High </w:t>
            </w:r>
          </w:p>
        </w:tc>
        <w:tc>
          <w:tcPr>
            <w:tcW w:w="156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2F739D6" w14:textId="77777777" w:rsidR="00170D99" w:rsidRDefault="006219DA"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93% </w:t>
            </w:r>
            <w:r>
              <w:br/>
            </w:r>
            <w:r w:rsidRPr="69CB9C34">
              <w:rPr>
                <w:rFonts w:eastAsia="Arial" w:cs="Arial"/>
                <w:color w:val="000000" w:themeColor="text1"/>
                <w:sz w:val="22"/>
                <w:szCs w:val="22"/>
              </w:rPr>
              <w:t xml:space="preserve">(Dec 2019 – Feb 20 average) </w:t>
            </w:r>
          </w:p>
          <w:p w14:paraId="31728F6D" w14:textId="77777777" w:rsidR="00170D99" w:rsidRDefault="006219DA"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 </w:t>
            </w:r>
          </w:p>
        </w:tc>
        <w:tc>
          <w:tcPr>
            <w:tcW w:w="1710"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14:paraId="12F5036B" w14:textId="77777777" w:rsidR="00170D99" w:rsidRDefault="006219DA"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93.8% </w:t>
            </w:r>
            <w:r>
              <w:br/>
            </w:r>
            <w:r w:rsidRPr="69CB9C34">
              <w:rPr>
                <w:rFonts w:eastAsia="Arial" w:cs="Arial"/>
                <w:color w:val="000000" w:themeColor="text1"/>
                <w:sz w:val="22"/>
                <w:szCs w:val="22"/>
              </w:rPr>
              <w:t xml:space="preserve">(Dec 2020 – Feb 2021 average) </w:t>
            </w:r>
          </w:p>
          <w:p w14:paraId="5C90E9E6" w14:textId="77777777" w:rsidR="00170D99" w:rsidRDefault="006219DA"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 </w:t>
            </w:r>
          </w:p>
        </w:tc>
        <w:tc>
          <w:tcPr>
            <w:tcW w:w="153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E6A0814" w14:textId="77777777" w:rsidR="00170D99" w:rsidRDefault="006219DA"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93.2%  </w:t>
            </w:r>
            <w:r>
              <w:br/>
            </w:r>
            <w:r w:rsidRPr="69CB9C34">
              <w:rPr>
                <w:rFonts w:eastAsia="Arial" w:cs="Arial"/>
                <w:color w:val="000000" w:themeColor="text1"/>
                <w:sz w:val="22"/>
                <w:szCs w:val="22"/>
              </w:rPr>
              <w:t xml:space="preserve">(June 2020) </w:t>
            </w:r>
          </w:p>
          <w:p w14:paraId="04C4B3D9" w14:textId="77777777" w:rsidR="00170D99" w:rsidRDefault="006219DA"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 </w:t>
            </w:r>
          </w:p>
        </w:tc>
        <w:tc>
          <w:tcPr>
            <w:tcW w:w="151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9343160" w14:textId="77777777" w:rsidR="00170D99" w:rsidRDefault="006219DA" w:rsidP="00654F8B">
            <w:pPr>
              <w:spacing w:line="252" w:lineRule="auto"/>
              <w:jc w:val="center"/>
              <w:rPr>
                <w:rFonts w:eastAsia="Arial" w:cs="Arial"/>
                <w:color w:val="000000" w:themeColor="text1"/>
                <w:sz w:val="22"/>
                <w:szCs w:val="22"/>
              </w:rPr>
            </w:pPr>
            <w:r w:rsidRPr="69CB9C34">
              <w:rPr>
                <w:rFonts w:eastAsia="Arial" w:cs="Arial"/>
                <w:color w:val="000000" w:themeColor="text1"/>
                <w:sz w:val="22"/>
                <w:szCs w:val="22"/>
              </w:rPr>
              <w:t xml:space="preserve">95.1% </w:t>
            </w:r>
            <w:r>
              <w:br/>
            </w:r>
            <w:r w:rsidRPr="69CB9C34">
              <w:rPr>
                <w:rFonts w:eastAsia="Arial" w:cs="Arial"/>
                <w:color w:val="000000" w:themeColor="text1"/>
                <w:sz w:val="22"/>
                <w:szCs w:val="22"/>
              </w:rPr>
              <w:t>(June 2021)</w:t>
            </w:r>
          </w:p>
        </w:tc>
        <w:tc>
          <w:tcPr>
            <w:tcW w:w="1816" w:type="dxa"/>
            <w:tcBorders>
              <w:top w:val="single" w:sz="6" w:space="0" w:color="auto"/>
              <w:left w:val="single" w:sz="6" w:space="0" w:color="auto"/>
              <w:bottom w:val="single" w:sz="6" w:space="0" w:color="auto"/>
              <w:right w:val="single" w:sz="6" w:space="0" w:color="auto"/>
            </w:tcBorders>
          </w:tcPr>
          <w:p w14:paraId="3256E36D" w14:textId="77777777" w:rsidR="00170D99" w:rsidRDefault="006219DA"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94.7% </w:t>
            </w:r>
          </w:p>
          <w:p w14:paraId="4A5FA53D" w14:textId="77777777" w:rsidR="00170D99" w:rsidRDefault="006219DA"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(Dec 2020-Feb 2021 average) </w:t>
            </w:r>
          </w:p>
        </w:tc>
      </w:tr>
      <w:tr w:rsidR="00176ACB" w14:paraId="30A6E15C" w14:textId="77777777" w:rsidTr="00170D99">
        <w:trPr>
          <w:trHeight w:val="945"/>
        </w:trPr>
        <w:tc>
          <w:tcPr>
            <w:tcW w:w="2325" w:type="dxa"/>
            <w:tcBorders>
              <w:top w:val="single" w:sz="6" w:space="0" w:color="auto"/>
              <w:left w:val="single" w:sz="6" w:space="0" w:color="auto"/>
              <w:bottom w:val="single" w:sz="6" w:space="0" w:color="auto"/>
              <w:right w:val="single" w:sz="6" w:space="0" w:color="auto"/>
            </w:tcBorders>
          </w:tcPr>
          <w:p w14:paraId="51F84C8F" w14:textId="77777777" w:rsidR="00170D99" w:rsidRDefault="006219DA" w:rsidP="00654F8B">
            <w:pPr>
              <w:jc w:val="left"/>
              <w:rPr>
                <w:rFonts w:eastAsia="Arial" w:cs="Arial"/>
                <w:color w:val="000000" w:themeColor="text1"/>
                <w:sz w:val="22"/>
                <w:szCs w:val="22"/>
              </w:rPr>
            </w:pPr>
            <w:r w:rsidRPr="69CB9C34">
              <w:rPr>
                <w:rFonts w:eastAsia="Arial" w:cs="Arial"/>
                <w:color w:val="000000" w:themeColor="text1"/>
                <w:sz w:val="22"/>
                <w:szCs w:val="22"/>
              </w:rPr>
              <w:t xml:space="preserve">Percentage of young people in education or training (EET) SEND pupils </w:t>
            </w:r>
          </w:p>
        </w:tc>
        <w:tc>
          <w:tcPr>
            <w:tcW w:w="1245" w:type="dxa"/>
            <w:tcBorders>
              <w:top w:val="single" w:sz="6" w:space="0" w:color="auto"/>
              <w:left w:val="single" w:sz="6" w:space="0" w:color="auto"/>
              <w:bottom w:val="single" w:sz="6" w:space="0" w:color="auto"/>
              <w:right w:val="single" w:sz="6" w:space="0" w:color="auto"/>
            </w:tcBorders>
          </w:tcPr>
          <w:p w14:paraId="3D9DF88B" w14:textId="77777777" w:rsidR="00170D99" w:rsidRDefault="006219DA" w:rsidP="00654F8B">
            <w:pPr>
              <w:rPr>
                <w:rFonts w:eastAsia="Arial" w:cs="Arial"/>
                <w:color w:val="000000" w:themeColor="text1"/>
                <w:sz w:val="22"/>
                <w:szCs w:val="22"/>
              </w:rPr>
            </w:pPr>
            <w:r w:rsidRPr="69CB9C34">
              <w:rPr>
                <w:rFonts w:eastAsia="Arial" w:cs="Arial"/>
                <w:color w:val="000000" w:themeColor="text1"/>
                <w:sz w:val="22"/>
                <w:szCs w:val="22"/>
              </w:rPr>
              <w:t xml:space="preserve">Annual </w:t>
            </w:r>
          </w:p>
        </w:tc>
        <w:tc>
          <w:tcPr>
            <w:tcW w:w="1440" w:type="dxa"/>
            <w:tcBorders>
              <w:top w:val="single" w:sz="6" w:space="0" w:color="auto"/>
              <w:left w:val="single" w:sz="6" w:space="0" w:color="auto"/>
              <w:bottom w:val="single" w:sz="6" w:space="0" w:color="auto"/>
              <w:right w:val="single" w:sz="6" w:space="0" w:color="auto"/>
            </w:tcBorders>
          </w:tcPr>
          <w:p w14:paraId="7054CA3B" w14:textId="77777777" w:rsidR="00170D99" w:rsidRDefault="006219DA" w:rsidP="00654F8B">
            <w:pPr>
              <w:rPr>
                <w:rFonts w:eastAsia="Arial" w:cs="Arial"/>
                <w:color w:val="000000" w:themeColor="text1"/>
                <w:sz w:val="22"/>
                <w:szCs w:val="22"/>
              </w:rPr>
            </w:pPr>
            <w:r w:rsidRPr="69CB9C34">
              <w:rPr>
                <w:rFonts w:eastAsia="Arial" w:cs="Arial"/>
                <w:color w:val="000000" w:themeColor="text1"/>
                <w:sz w:val="22"/>
                <w:szCs w:val="22"/>
              </w:rPr>
              <w:t xml:space="preserve">Education and Children's Services </w:t>
            </w:r>
          </w:p>
        </w:tc>
        <w:tc>
          <w:tcPr>
            <w:tcW w:w="885" w:type="dxa"/>
            <w:tcBorders>
              <w:top w:val="single" w:sz="6" w:space="0" w:color="auto"/>
              <w:left w:val="single" w:sz="6" w:space="0" w:color="auto"/>
              <w:bottom w:val="single" w:sz="6" w:space="0" w:color="auto"/>
              <w:right w:val="single" w:sz="6" w:space="0" w:color="auto"/>
            </w:tcBorders>
          </w:tcPr>
          <w:p w14:paraId="7FDF1C2F" w14:textId="77777777" w:rsidR="00170D99" w:rsidRDefault="006219DA" w:rsidP="00654F8B">
            <w:pPr>
              <w:rPr>
                <w:rFonts w:eastAsia="Arial" w:cs="Arial"/>
                <w:color w:val="000000" w:themeColor="text1"/>
                <w:sz w:val="22"/>
                <w:szCs w:val="22"/>
              </w:rPr>
            </w:pPr>
            <w:r w:rsidRPr="69CB9C34">
              <w:rPr>
                <w:rFonts w:eastAsia="Arial" w:cs="Arial"/>
                <w:color w:val="000000" w:themeColor="text1"/>
                <w:sz w:val="22"/>
                <w:szCs w:val="22"/>
              </w:rPr>
              <w:t xml:space="preserve">High </w:t>
            </w:r>
          </w:p>
        </w:tc>
        <w:tc>
          <w:tcPr>
            <w:tcW w:w="156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D4946DD" w14:textId="77777777" w:rsidR="00170D99" w:rsidRDefault="006219DA"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88.9% </w:t>
            </w:r>
            <w:r>
              <w:br/>
            </w:r>
            <w:r w:rsidRPr="69CB9C34">
              <w:rPr>
                <w:rFonts w:eastAsia="Arial" w:cs="Arial"/>
                <w:color w:val="000000" w:themeColor="text1"/>
                <w:sz w:val="22"/>
                <w:szCs w:val="22"/>
              </w:rPr>
              <w:t xml:space="preserve">(Dec 2019 – Feb 20 average)  </w:t>
            </w:r>
          </w:p>
        </w:tc>
        <w:tc>
          <w:tcPr>
            <w:tcW w:w="171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F3055A3" w14:textId="77777777" w:rsidR="00170D99" w:rsidRDefault="006219DA"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90.3% </w:t>
            </w:r>
            <w:r>
              <w:br/>
            </w:r>
            <w:r w:rsidRPr="69CB9C34">
              <w:rPr>
                <w:rFonts w:eastAsia="Arial" w:cs="Arial"/>
                <w:color w:val="000000" w:themeColor="text1"/>
                <w:sz w:val="22"/>
                <w:szCs w:val="22"/>
              </w:rPr>
              <w:t xml:space="preserve">(Dec 2020-Feb 2021 average) </w:t>
            </w:r>
          </w:p>
        </w:tc>
        <w:tc>
          <w:tcPr>
            <w:tcW w:w="153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C5247C0" w14:textId="77777777" w:rsidR="00170D99" w:rsidRDefault="006219DA"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89.1%  </w:t>
            </w:r>
            <w:r>
              <w:br/>
            </w:r>
            <w:r w:rsidRPr="69CB9C34">
              <w:rPr>
                <w:rFonts w:eastAsia="Arial" w:cs="Arial"/>
                <w:color w:val="000000" w:themeColor="text1"/>
                <w:sz w:val="22"/>
                <w:szCs w:val="22"/>
              </w:rPr>
              <w:t xml:space="preserve">(June 2020) </w:t>
            </w:r>
          </w:p>
          <w:p w14:paraId="6B975C33" w14:textId="77777777" w:rsidR="00170D99" w:rsidRDefault="006219DA" w:rsidP="00654F8B">
            <w:pPr>
              <w:jc w:val="center"/>
              <w:rPr>
                <w:rFonts w:eastAsia="Arial" w:cs="Arial"/>
                <w:color w:val="000000" w:themeColor="text1"/>
                <w:sz w:val="22"/>
                <w:szCs w:val="22"/>
              </w:rPr>
            </w:pPr>
            <w:r w:rsidRPr="69CB9C34">
              <w:rPr>
                <w:rFonts w:eastAsia="Arial" w:cs="Arial"/>
                <w:color w:val="000000" w:themeColor="text1"/>
                <w:sz w:val="22"/>
                <w:szCs w:val="22"/>
              </w:rPr>
              <w:t xml:space="preserve"> </w:t>
            </w:r>
          </w:p>
        </w:tc>
        <w:tc>
          <w:tcPr>
            <w:tcW w:w="151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8B90D5C" w14:textId="77777777" w:rsidR="00170D99" w:rsidRDefault="006219DA" w:rsidP="00654F8B">
            <w:pPr>
              <w:spacing w:line="252" w:lineRule="auto"/>
              <w:jc w:val="center"/>
              <w:rPr>
                <w:rFonts w:eastAsia="Arial" w:cs="Arial"/>
                <w:color w:val="000000" w:themeColor="text1"/>
                <w:sz w:val="22"/>
                <w:szCs w:val="22"/>
              </w:rPr>
            </w:pPr>
            <w:r w:rsidRPr="69CB9C34">
              <w:rPr>
                <w:rFonts w:eastAsia="Arial" w:cs="Arial"/>
                <w:color w:val="000000" w:themeColor="text1"/>
                <w:sz w:val="22"/>
                <w:szCs w:val="22"/>
              </w:rPr>
              <w:t>89.9 %</w:t>
            </w:r>
            <w:r>
              <w:br/>
            </w:r>
            <w:r w:rsidRPr="69CB9C34">
              <w:rPr>
                <w:rFonts w:eastAsia="Arial" w:cs="Arial"/>
                <w:color w:val="000000" w:themeColor="text1"/>
                <w:sz w:val="22"/>
                <w:szCs w:val="22"/>
              </w:rPr>
              <w:t>(June 2021)</w:t>
            </w:r>
          </w:p>
        </w:tc>
        <w:tc>
          <w:tcPr>
            <w:tcW w:w="1816" w:type="dxa"/>
            <w:tcBorders>
              <w:top w:val="single" w:sz="6" w:space="0" w:color="auto"/>
              <w:left w:val="single" w:sz="6" w:space="0" w:color="auto"/>
              <w:bottom w:val="single" w:sz="6" w:space="0" w:color="auto"/>
              <w:right w:val="single" w:sz="6" w:space="0" w:color="auto"/>
            </w:tcBorders>
          </w:tcPr>
          <w:p w14:paraId="5E424D93" w14:textId="77777777" w:rsidR="00170D99" w:rsidRDefault="006219DA" w:rsidP="00654F8B">
            <w:pPr>
              <w:jc w:val="center"/>
              <w:rPr>
                <w:rFonts w:eastAsia="Arial" w:cs="Arial"/>
                <w:color w:val="000000" w:themeColor="text1"/>
                <w:sz w:val="22"/>
                <w:szCs w:val="22"/>
              </w:rPr>
            </w:pPr>
            <w:r w:rsidRPr="69CB9C34">
              <w:rPr>
                <w:rFonts w:eastAsia="Arial" w:cs="Arial"/>
                <w:color w:val="000000" w:themeColor="text1"/>
                <w:sz w:val="22"/>
                <w:szCs w:val="22"/>
              </w:rPr>
              <w:t>86% (Dec 2020-Feb 2021 average)</w:t>
            </w:r>
          </w:p>
        </w:tc>
      </w:tr>
    </w:tbl>
    <w:p w14:paraId="562FBB7A" w14:textId="0038204D" w:rsidR="00170D99" w:rsidRDefault="00170D99" w:rsidP="00794DD3">
      <w:pPr>
        <w:pStyle w:val="NoSpacing"/>
        <w:jc w:val="both"/>
        <w:rPr>
          <w:rFonts w:ascii="Arial" w:eastAsia="Arial" w:hAnsi="Arial" w:cs="Arial"/>
        </w:rPr>
      </w:pPr>
    </w:p>
    <w:p w14:paraId="043BC972" w14:textId="7241ACA3" w:rsidR="00170D99" w:rsidRPr="003410DD" w:rsidRDefault="006219DA" w:rsidP="00170D99">
      <w:pPr>
        <w:pStyle w:val="NoSpacing"/>
        <w:rPr>
          <w:rFonts w:ascii="Arial" w:hAnsi="Arial" w:cs="Arial"/>
          <w:color w:val="000000" w:themeColor="text1"/>
          <w:sz w:val="24"/>
          <w:szCs w:val="24"/>
        </w:rPr>
      </w:pPr>
      <w:r w:rsidRPr="003410DD">
        <w:rPr>
          <w:rFonts w:ascii="Arial" w:eastAsia="Arial" w:hAnsi="Arial" w:cs="Arial"/>
          <w:b/>
          <w:bCs/>
          <w:color w:val="000000" w:themeColor="text1"/>
          <w:sz w:val="24"/>
          <w:szCs w:val="24"/>
        </w:rPr>
        <w:t>16/17 year olds in Employment Education or Training (EET</w:t>
      </w:r>
      <w:r w:rsidRPr="003410DD">
        <w:rPr>
          <w:rFonts w:ascii="Arial" w:eastAsia="Arial" w:hAnsi="Arial" w:cs="Arial"/>
          <w:color w:val="000000" w:themeColor="text1"/>
          <w:sz w:val="24"/>
          <w:szCs w:val="24"/>
        </w:rPr>
        <w:t>)</w:t>
      </w:r>
      <w:r w:rsidRPr="003410DD">
        <w:rPr>
          <w:rFonts w:ascii="Arial" w:hAnsi="Arial" w:cs="Arial"/>
          <w:sz w:val="24"/>
          <w:szCs w:val="24"/>
        </w:rPr>
        <w:t>.</w:t>
      </w:r>
      <w:r w:rsidRPr="003410DD">
        <w:rPr>
          <w:rFonts w:ascii="Arial" w:hAnsi="Arial" w:cs="Arial"/>
          <w:color w:val="000000" w:themeColor="text1"/>
          <w:sz w:val="24"/>
          <w:szCs w:val="24"/>
        </w:rPr>
        <w:t xml:space="preserve"> </w:t>
      </w:r>
      <w:r w:rsidR="00654F8B" w:rsidRPr="003410DD">
        <w:rPr>
          <w:rFonts w:ascii="Arial" w:hAnsi="Arial" w:cs="Arial"/>
          <w:color w:val="000000" w:themeColor="text1"/>
          <w:sz w:val="24"/>
          <w:szCs w:val="24"/>
        </w:rPr>
        <w:t xml:space="preserve"> Above on target figures previously reported to the Committee. </w:t>
      </w:r>
      <w:r w:rsidRPr="003410DD">
        <w:rPr>
          <w:rFonts w:ascii="Arial" w:hAnsi="Arial" w:cs="Arial"/>
          <w:color w:val="000000" w:themeColor="text1"/>
          <w:sz w:val="24"/>
          <w:szCs w:val="24"/>
        </w:rPr>
        <w:t>Finalised Q2 figures are due in late November 2021 and will be available to report thereafter.</w:t>
      </w:r>
    </w:p>
    <w:p w14:paraId="7733F682" w14:textId="2A2B55A9" w:rsidR="00170D99" w:rsidRDefault="00170D99" w:rsidP="00170D99">
      <w:pPr>
        <w:pStyle w:val="NoSpacing"/>
        <w:rPr>
          <w:rFonts w:ascii="Arial" w:hAnsi="Arial" w:cs="Arial"/>
          <w:color w:val="000000" w:themeColor="text1"/>
          <w:sz w:val="24"/>
          <w:szCs w:val="24"/>
          <w:lang w:eastAsia="en-GB"/>
        </w:rPr>
      </w:pPr>
    </w:p>
    <w:p w14:paraId="5B81FFC5" w14:textId="253E1E6E" w:rsidR="00957534" w:rsidRDefault="00957534" w:rsidP="00170D99">
      <w:pPr>
        <w:pStyle w:val="NoSpacing"/>
        <w:rPr>
          <w:rFonts w:ascii="Arial" w:hAnsi="Arial" w:cs="Arial"/>
          <w:color w:val="000000" w:themeColor="text1"/>
          <w:sz w:val="24"/>
          <w:szCs w:val="24"/>
          <w:lang w:eastAsia="en-GB"/>
        </w:rPr>
      </w:pPr>
    </w:p>
    <w:p w14:paraId="5B223115" w14:textId="49C1EBA3" w:rsidR="00957534" w:rsidRDefault="00957534" w:rsidP="00170D99">
      <w:pPr>
        <w:pStyle w:val="NoSpacing"/>
        <w:rPr>
          <w:rFonts w:ascii="Arial" w:hAnsi="Arial" w:cs="Arial"/>
          <w:color w:val="000000" w:themeColor="text1"/>
          <w:sz w:val="24"/>
          <w:szCs w:val="24"/>
          <w:lang w:eastAsia="en-GB"/>
        </w:rPr>
      </w:pPr>
    </w:p>
    <w:p w14:paraId="2F79B378" w14:textId="6AE6C19B" w:rsidR="00957534" w:rsidRDefault="00957534" w:rsidP="00170D99">
      <w:pPr>
        <w:pStyle w:val="NoSpacing"/>
        <w:rPr>
          <w:rFonts w:ascii="Arial" w:hAnsi="Arial" w:cs="Arial"/>
          <w:color w:val="000000" w:themeColor="text1"/>
          <w:sz w:val="24"/>
          <w:szCs w:val="24"/>
          <w:lang w:eastAsia="en-GB"/>
        </w:rPr>
      </w:pPr>
    </w:p>
    <w:p w14:paraId="319E4E4C" w14:textId="77777777" w:rsidR="00957534" w:rsidRPr="003410DD" w:rsidRDefault="00957534" w:rsidP="00170D99">
      <w:pPr>
        <w:pStyle w:val="NoSpacing"/>
        <w:rPr>
          <w:rFonts w:ascii="Arial" w:hAnsi="Arial" w:cs="Arial"/>
          <w:color w:val="000000" w:themeColor="text1"/>
          <w:sz w:val="24"/>
          <w:szCs w:val="24"/>
          <w:lang w:eastAsia="en-GB"/>
        </w:rPr>
      </w:pPr>
    </w:p>
    <w:p w14:paraId="020B5C0E" w14:textId="77777777" w:rsidR="00170D99" w:rsidRDefault="00170D99" w:rsidP="00794DD3">
      <w:pPr>
        <w:pStyle w:val="NoSpacing"/>
        <w:jc w:val="both"/>
        <w:rPr>
          <w:rFonts w:ascii="Arial" w:eastAsia="Arial" w:hAnsi="Arial" w:cs="Arial"/>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350"/>
        <w:gridCol w:w="1410"/>
        <w:gridCol w:w="1290"/>
        <w:gridCol w:w="1290"/>
        <w:gridCol w:w="1350"/>
        <w:gridCol w:w="1485"/>
        <w:gridCol w:w="2032"/>
        <w:gridCol w:w="1457"/>
      </w:tblGrid>
      <w:tr w:rsidR="00176ACB" w14:paraId="4D511CE6" w14:textId="77777777" w:rsidTr="00292773">
        <w:trPr>
          <w:trHeight w:val="708"/>
        </w:trPr>
        <w:tc>
          <w:tcPr>
            <w:tcW w:w="2370" w:type="dxa"/>
            <w:tcBorders>
              <w:top w:val="single" w:sz="4" w:space="0" w:color="auto"/>
              <w:left w:val="single" w:sz="4" w:space="0" w:color="auto"/>
              <w:bottom w:val="single" w:sz="4" w:space="0" w:color="auto"/>
              <w:right w:val="single" w:sz="4" w:space="0" w:color="auto"/>
            </w:tcBorders>
            <w:hideMark/>
          </w:tcPr>
          <w:p w14:paraId="17F5E0C8" w14:textId="77777777" w:rsidR="00170D99" w:rsidRPr="00A03613" w:rsidRDefault="006219DA" w:rsidP="00654F8B">
            <w:pPr>
              <w:pStyle w:val="NoSpacing"/>
              <w:rPr>
                <w:rFonts w:ascii="Arial" w:hAnsi="Arial" w:cs="Arial"/>
                <w:b/>
                <w:sz w:val="20"/>
                <w:szCs w:val="20"/>
                <w:highlight w:val="yellow"/>
              </w:rPr>
            </w:pPr>
            <w:bookmarkStart w:id="2" w:name="_Hlk74313838"/>
            <w:r w:rsidRPr="00A03613">
              <w:rPr>
                <w:rFonts w:ascii="Arial" w:hAnsi="Arial" w:cs="Arial"/>
                <w:b/>
                <w:sz w:val="20"/>
                <w:szCs w:val="20"/>
              </w:rPr>
              <w:lastRenderedPageBreak/>
              <w:t>Performance Indicator</w:t>
            </w:r>
          </w:p>
        </w:tc>
        <w:tc>
          <w:tcPr>
            <w:tcW w:w="1350" w:type="dxa"/>
            <w:tcBorders>
              <w:top w:val="single" w:sz="4" w:space="0" w:color="auto"/>
              <w:left w:val="single" w:sz="4" w:space="0" w:color="auto"/>
              <w:bottom w:val="single" w:sz="4" w:space="0" w:color="auto"/>
              <w:right w:val="single" w:sz="4" w:space="0" w:color="auto"/>
            </w:tcBorders>
            <w:hideMark/>
          </w:tcPr>
          <w:p w14:paraId="4EBD0C48" w14:textId="77777777" w:rsidR="00170D99" w:rsidRPr="00A03613" w:rsidRDefault="006219DA" w:rsidP="00654F8B">
            <w:pPr>
              <w:pStyle w:val="NoSpacing"/>
              <w:rPr>
                <w:rFonts w:ascii="Arial" w:hAnsi="Arial" w:cs="Arial"/>
                <w:b/>
                <w:sz w:val="20"/>
                <w:szCs w:val="20"/>
                <w:highlight w:val="yellow"/>
              </w:rPr>
            </w:pPr>
            <w:r w:rsidRPr="00A03613">
              <w:rPr>
                <w:rFonts w:ascii="Arial" w:hAnsi="Arial" w:cs="Arial"/>
                <w:b/>
                <w:sz w:val="20"/>
                <w:szCs w:val="20"/>
              </w:rPr>
              <w:t>Frequency</w:t>
            </w:r>
          </w:p>
        </w:tc>
        <w:tc>
          <w:tcPr>
            <w:tcW w:w="1410" w:type="dxa"/>
            <w:tcBorders>
              <w:top w:val="single" w:sz="4" w:space="0" w:color="auto"/>
              <w:left w:val="single" w:sz="4" w:space="0" w:color="auto"/>
              <w:bottom w:val="single" w:sz="4" w:space="0" w:color="auto"/>
              <w:right w:val="single" w:sz="4" w:space="0" w:color="auto"/>
            </w:tcBorders>
          </w:tcPr>
          <w:p w14:paraId="458D05C4" w14:textId="77777777" w:rsidR="00170D99" w:rsidRPr="00A03613" w:rsidRDefault="006219DA" w:rsidP="00654F8B">
            <w:pPr>
              <w:pStyle w:val="NoSpacing"/>
              <w:rPr>
                <w:rFonts w:ascii="Arial" w:hAnsi="Arial" w:cs="Arial"/>
                <w:b/>
                <w:sz w:val="20"/>
                <w:szCs w:val="20"/>
                <w:highlight w:val="yellow"/>
              </w:rPr>
            </w:pPr>
            <w:r w:rsidRPr="00A03613">
              <w:rPr>
                <w:rFonts w:ascii="Arial" w:hAnsi="Arial" w:cs="Arial"/>
                <w:b/>
                <w:sz w:val="20"/>
                <w:szCs w:val="20"/>
              </w:rPr>
              <w:t xml:space="preserve">Directorate </w:t>
            </w:r>
          </w:p>
        </w:tc>
        <w:tc>
          <w:tcPr>
            <w:tcW w:w="1290" w:type="dxa"/>
            <w:tcBorders>
              <w:top w:val="single" w:sz="4" w:space="0" w:color="auto"/>
              <w:left w:val="single" w:sz="4" w:space="0" w:color="auto"/>
              <w:bottom w:val="single" w:sz="4" w:space="0" w:color="auto"/>
              <w:right w:val="single" w:sz="4" w:space="0" w:color="auto"/>
            </w:tcBorders>
          </w:tcPr>
          <w:p w14:paraId="4E23015A" w14:textId="77777777" w:rsidR="00170D99" w:rsidRPr="00A03613" w:rsidRDefault="006219DA" w:rsidP="00654F8B">
            <w:pPr>
              <w:pStyle w:val="NoSpacing"/>
              <w:rPr>
                <w:rFonts w:ascii="Arial" w:hAnsi="Arial" w:cs="Arial"/>
                <w:b/>
                <w:sz w:val="20"/>
                <w:szCs w:val="20"/>
                <w:highlight w:val="yellow"/>
              </w:rPr>
            </w:pPr>
            <w:r w:rsidRPr="00A03613">
              <w:rPr>
                <w:rFonts w:ascii="Arial" w:hAnsi="Arial" w:cs="Arial"/>
                <w:b/>
                <w:sz w:val="20"/>
                <w:szCs w:val="20"/>
              </w:rPr>
              <w:t>Good is</w:t>
            </w:r>
          </w:p>
        </w:tc>
        <w:tc>
          <w:tcPr>
            <w:tcW w:w="1290" w:type="dxa"/>
            <w:tcBorders>
              <w:top w:val="single" w:sz="4" w:space="0" w:color="auto"/>
              <w:left w:val="single" w:sz="4" w:space="0" w:color="auto"/>
              <w:bottom w:val="single" w:sz="4" w:space="0" w:color="auto"/>
              <w:right w:val="single" w:sz="4" w:space="0" w:color="auto"/>
            </w:tcBorders>
          </w:tcPr>
          <w:p w14:paraId="2FF7A8AC" w14:textId="77777777" w:rsidR="00170D99" w:rsidRPr="00A03613" w:rsidRDefault="006219DA" w:rsidP="00654F8B">
            <w:pPr>
              <w:pStyle w:val="NoSpacing"/>
              <w:jc w:val="center"/>
              <w:rPr>
                <w:rFonts w:ascii="Arial" w:hAnsi="Arial" w:cs="Arial"/>
                <w:b/>
                <w:bCs/>
                <w:sz w:val="20"/>
                <w:szCs w:val="20"/>
                <w:highlight w:val="yellow"/>
              </w:rPr>
            </w:pPr>
            <w:r w:rsidRPr="00A03613">
              <w:rPr>
                <w:rFonts w:ascii="Arial" w:hAnsi="Arial" w:cs="Arial"/>
                <w:b/>
                <w:bCs/>
                <w:sz w:val="20"/>
                <w:szCs w:val="20"/>
              </w:rPr>
              <w:t>2019/20 Outturn</w:t>
            </w:r>
          </w:p>
        </w:tc>
        <w:tc>
          <w:tcPr>
            <w:tcW w:w="1350" w:type="dxa"/>
            <w:tcBorders>
              <w:top w:val="single" w:sz="4" w:space="0" w:color="auto"/>
              <w:left w:val="single" w:sz="4" w:space="0" w:color="auto"/>
              <w:bottom w:val="single" w:sz="4" w:space="0" w:color="auto"/>
              <w:right w:val="single" w:sz="4" w:space="0" w:color="auto"/>
            </w:tcBorders>
          </w:tcPr>
          <w:p w14:paraId="4B0E9331" w14:textId="77777777" w:rsidR="00170D99" w:rsidRPr="00A03613" w:rsidRDefault="006219DA" w:rsidP="00654F8B">
            <w:pPr>
              <w:pStyle w:val="NoSpacing"/>
              <w:jc w:val="center"/>
              <w:rPr>
                <w:rFonts w:ascii="Arial" w:hAnsi="Arial" w:cs="Arial"/>
                <w:b/>
                <w:bCs/>
                <w:sz w:val="20"/>
                <w:szCs w:val="20"/>
              </w:rPr>
            </w:pPr>
            <w:r w:rsidRPr="00A03613">
              <w:rPr>
                <w:rFonts w:ascii="Arial" w:hAnsi="Arial" w:cs="Arial"/>
                <w:b/>
                <w:bCs/>
                <w:sz w:val="20"/>
                <w:szCs w:val="20"/>
              </w:rPr>
              <w:t>2020/21 Outturn</w:t>
            </w:r>
          </w:p>
        </w:tc>
        <w:tc>
          <w:tcPr>
            <w:tcW w:w="1485" w:type="dxa"/>
            <w:tcBorders>
              <w:top w:val="single" w:sz="4" w:space="0" w:color="auto"/>
              <w:left w:val="single" w:sz="4" w:space="0" w:color="auto"/>
              <w:bottom w:val="single" w:sz="4" w:space="0" w:color="auto"/>
              <w:right w:val="single" w:sz="4" w:space="0" w:color="auto"/>
            </w:tcBorders>
          </w:tcPr>
          <w:p w14:paraId="0931AE4C" w14:textId="77777777" w:rsidR="00170D99" w:rsidRPr="00A03613" w:rsidRDefault="006219DA" w:rsidP="00654F8B">
            <w:pPr>
              <w:pStyle w:val="NoSpacing"/>
              <w:rPr>
                <w:rFonts w:ascii="Arial" w:hAnsi="Arial" w:cs="Arial"/>
                <w:b/>
                <w:bCs/>
                <w:sz w:val="20"/>
                <w:szCs w:val="20"/>
              </w:rPr>
            </w:pPr>
            <w:r w:rsidRPr="00A03613">
              <w:rPr>
                <w:rFonts w:ascii="Arial" w:hAnsi="Arial" w:cs="Arial"/>
                <w:b/>
                <w:bCs/>
                <w:sz w:val="20"/>
                <w:szCs w:val="20"/>
              </w:rPr>
              <w:t>2021/22 Quarter 1 (April –June)</w:t>
            </w:r>
          </w:p>
          <w:p w14:paraId="51F857E0" w14:textId="77777777" w:rsidR="00170D99" w:rsidRPr="00A03613" w:rsidRDefault="00170D99" w:rsidP="00654F8B">
            <w:pPr>
              <w:pStyle w:val="NoSpacing"/>
              <w:rPr>
                <w:b/>
                <w:bCs/>
                <w:sz w:val="20"/>
                <w:szCs w:val="20"/>
              </w:rPr>
            </w:pPr>
          </w:p>
        </w:tc>
        <w:tc>
          <w:tcPr>
            <w:tcW w:w="2032" w:type="dxa"/>
            <w:tcBorders>
              <w:top w:val="single" w:sz="4" w:space="0" w:color="auto"/>
              <w:left w:val="single" w:sz="4" w:space="0" w:color="auto"/>
              <w:bottom w:val="single" w:sz="4" w:space="0" w:color="auto"/>
              <w:right w:val="single" w:sz="4" w:space="0" w:color="auto"/>
            </w:tcBorders>
          </w:tcPr>
          <w:p w14:paraId="3F50040B" w14:textId="77777777" w:rsidR="00170D99" w:rsidRPr="00A03613" w:rsidRDefault="006219DA" w:rsidP="00654F8B">
            <w:pPr>
              <w:pStyle w:val="NoSpacing"/>
              <w:jc w:val="center"/>
              <w:rPr>
                <w:rFonts w:ascii="Arial" w:hAnsi="Arial" w:cs="Arial"/>
                <w:b/>
                <w:bCs/>
                <w:sz w:val="20"/>
                <w:szCs w:val="20"/>
              </w:rPr>
            </w:pPr>
            <w:r w:rsidRPr="00A03613">
              <w:rPr>
                <w:rFonts w:ascii="Arial" w:hAnsi="Arial" w:cs="Arial"/>
                <w:b/>
                <w:bCs/>
                <w:sz w:val="20"/>
                <w:szCs w:val="20"/>
              </w:rPr>
              <w:t>2021/22</w:t>
            </w:r>
          </w:p>
          <w:p w14:paraId="7BB7E166" w14:textId="77777777" w:rsidR="00170D99" w:rsidRPr="00A03613" w:rsidRDefault="006219DA" w:rsidP="00654F8B">
            <w:pPr>
              <w:pStyle w:val="NoSpacing"/>
              <w:jc w:val="center"/>
              <w:rPr>
                <w:rFonts w:ascii="Arial" w:hAnsi="Arial" w:cs="Arial"/>
                <w:b/>
                <w:bCs/>
                <w:sz w:val="20"/>
                <w:szCs w:val="20"/>
              </w:rPr>
            </w:pPr>
            <w:r w:rsidRPr="00A03613">
              <w:rPr>
                <w:rFonts w:ascii="Arial" w:hAnsi="Arial" w:cs="Arial"/>
                <w:b/>
                <w:bCs/>
                <w:sz w:val="20"/>
                <w:szCs w:val="20"/>
              </w:rPr>
              <w:t>Quarter 2</w:t>
            </w:r>
          </w:p>
          <w:p w14:paraId="584F0A3A" w14:textId="77777777" w:rsidR="00170D99" w:rsidRPr="00A03613" w:rsidRDefault="006219DA" w:rsidP="00654F8B">
            <w:pPr>
              <w:pStyle w:val="NoSpacing"/>
              <w:jc w:val="center"/>
              <w:rPr>
                <w:rFonts w:ascii="Arial" w:hAnsi="Arial" w:cs="Arial"/>
                <w:b/>
                <w:sz w:val="20"/>
                <w:szCs w:val="20"/>
              </w:rPr>
            </w:pPr>
            <w:r w:rsidRPr="00A03613">
              <w:rPr>
                <w:rFonts w:ascii="Arial" w:hAnsi="Arial" w:cs="Arial"/>
                <w:b/>
                <w:bCs/>
                <w:sz w:val="20"/>
                <w:szCs w:val="20"/>
              </w:rPr>
              <w:t>(July – Sep)</w:t>
            </w:r>
          </w:p>
        </w:tc>
        <w:tc>
          <w:tcPr>
            <w:tcW w:w="1457" w:type="dxa"/>
            <w:tcBorders>
              <w:top w:val="single" w:sz="4" w:space="0" w:color="auto"/>
              <w:left w:val="single" w:sz="4" w:space="0" w:color="auto"/>
              <w:bottom w:val="single" w:sz="4" w:space="0" w:color="auto"/>
              <w:right w:val="single" w:sz="4" w:space="0" w:color="auto"/>
            </w:tcBorders>
          </w:tcPr>
          <w:p w14:paraId="6B483CCB" w14:textId="77777777" w:rsidR="00170D99" w:rsidRPr="00A03613" w:rsidRDefault="006219DA" w:rsidP="00654F8B">
            <w:pPr>
              <w:pStyle w:val="NoSpacing"/>
              <w:rPr>
                <w:rFonts w:ascii="Arial" w:hAnsi="Arial" w:cs="Arial"/>
                <w:b/>
                <w:bCs/>
                <w:sz w:val="20"/>
                <w:szCs w:val="20"/>
                <w:highlight w:val="yellow"/>
              </w:rPr>
            </w:pPr>
            <w:r w:rsidRPr="00A03613">
              <w:rPr>
                <w:rFonts w:ascii="Arial" w:hAnsi="Arial" w:cs="Arial"/>
                <w:b/>
                <w:bCs/>
                <w:sz w:val="20"/>
                <w:szCs w:val="20"/>
              </w:rPr>
              <w:t>2021/22 Target</w:t>
            </w:r>
          </w:p>
        </w:tc>
      </w:tr>
      <w:bookmarkEnd w:id="2"/>
      <w:tr w:rsidR="00176ACB" w14:paraId="438D2CBD" w14:textId="77777777" w:rsidTr="00292773">
        <w:trPr>
          <w:trHeight w:val="1365"/>
        </w:trPr>
        <w:tc>
          <w:tcPr>
            <w:tcW w:w="2370" w:type="dxa"/>
            <w:tcBorders>
              <w:top w:val="single" w:sz="4" w:space="0" w:color="auto"/>
              <w:left w:val="single" w:sz="4" w:space="0" w:color="auto"/>
              <w:bottom w:val="single" w:sz="4" w:space="0" w:color="auto"/>
              <w:right w:val="single" w:sz="4" w:space="0" w:color="auto"/>
            </w:tcBorders>
          </w:tcPr>
          <w:p w14:paraId="3BCE85C9" w14:textId="77777777" w:rsidR="00170D99" w:rsidRPr="00AB547C" w:rsidRDefault="006219DA" w:rsidP="00654F8B">
            <w:pPr>
              <w:pStyle w:val="NoSpacing"/>
              <w:rPr>
                <w:rFonts w:ascii="Arial" w:hAnsi="Arial" w:cs="Arial"/>
              </w:rPr>
            </w:pPr>
            <w:r w:rsidRPr="00AB547C">
              <w:rPr>
                <w:rFonts w:ascii="Arial" w:hAnsi="Arial" w:cs="Arial"/>
              </w:rPr>
              <w:t>Number of visits to libraries (annual cumulative indicator)</w:t>
            </w:r>
          </w:p>
        </w:tc>
        <w:tc>
          <w:tcPr>
            <w:tcW w:w="1350" w:type="dxa"/>
            <w:tcBorders>
              <w:top w:val="single" w:sz="4" w:space="0" w:color="auto"/>
              <w:left w:val="single" w:sz="4" w:space="0" w:color="auto"/>
              <w:bottom w:val="single" w:sz="4" w:space="0" w:color="auto"/>
              <w:right w:val="single" w:sz="4" w:space="0" w:color="auto"/>
            </w:tcBorders>
          </w:tcPr>
          <w:p w14:paraId="7CEF4EE0" w14:textId="77777777" w:rsidR="00170D99" w:rsidRPr="00AB547C" w:rsidRDefault="006219DA" w:rsidP="00654F8B">
            <w:pPr>
              <w:pStyle w:val="NoSpacing"/>
              <w:rPr>
                <w:rFonts w:ascii="Arial" w:hAnsi="Arial" w:cs="Arial"/>
              </w:rPr>
            </w:pPr>
            <w:r w:rsidRPr="00AB547C">
              <w:rPr>
                <w:rFonts w:ascii="Arial" w:hAnsi="Arial" w:cs="Arial"/>
              </w:rPr>
              <w:t>Quarterly</w:t>
            </w:r>
          </w:p>
        </w:tc>
        <w:tc>
          <w:tcPr>
            <w:tcW w:w="1410" w:type="dxa"/>
            <w:tcBorders>
              <w:top w:val="single" w:sz="4" w:space="0" w:color="auto"/>
              <w:left w:val="single" w:sz="4" w:space="0" w:color="auto"/>
              <w:bottom w:val="single" w:sz="4" w:space="0" w:color="auto"/>
              <w:right w:val="single" w:sz="4" w:space="0" w:color="auto"/>
            </w:tcBorders>
          </w:tcPr>
          <w:p w14:paraId="03B1E5EF" w14:textId="77777777" w:rsidR="00170D99" w:rsidRPr="00AB547C" w:rsidRDefault="006219DA" w:rsidP="00654F8B">
            <w:pPr>
              <w:pStyle w:val="NoSpacing"/>
              <w:rPr>
                <w:rFonts w:ascii="Arial" w:hAnsi="Arial" w:cs="Arial"/>
              </w:rPr>
            </w:pPr>
            <w:r w:rsidRPr="00AB547C">
              <w:rPr>
                <w:rFonts w:ascii="Arial" w:hAnsi="Arial" w:cs="Arial"/>
              </w:rPr>
              <w:t>Education and Children's Services</w:t>
            </w:r>
          </w:p>
        </w:tc>
        <w:tc>
          <w:tcPr>
            <w:tcW w:w="1290" w:type="dxa"/>
            <w:tcBorders>
              <w:top w:val="single" w:sz="4" w:space="0" w:color="auto"/>
              <w:left w:val="single" w:sz="4" w:space="0" w:color="auto"/>
              <w:bottom w:val="single" w:sz="4" w:space="0" w:color="auto"/>
              <w:right w:val="single" w:sz="4" w:space="0" w:color="auto"/>
            </w:tcBorders>
          </w:tcPr>
          <w:p w14:paraId="5ACEAD5B" w14:textId="77777777" w:rsidR="00170D99" w:rsidRPr="00AB547C" w:rsidRDefault="006219DA" w:rsidP="00654F8B">
            <w:pPr>
              <w:pStyle w:val="NoSpacing"/>
              <w:rPr>
                <w:rFonts w:ascii="Arial" w:hAnsi="Arial" w:cs="Arial"/>
              </w:rPr>
            </w:pPr>
            <w:r w:rsidRPr="00AB547C">
              <w:rPr>
                <w:rFonts w:ascii="Arial" w:hAnsi="Arial" w:cs="Arial"/>
              </w:rPr>
              <w:t>High</w:t>
            </w:r>
          </w:p>
        </w:tc>
        <w:tc>
          <w:tcPr>
            <w:tcW w:w="129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5DD6A5A" w14:textId="77777777" w:rsidR="00170D99" w:rsidRPr="00AB547C" w:rsidRDefault="006219DA" w:rsidP="00654F8B">
            <w:pPr>
              <w:pStyle w:val="NoSpacing"/>
              <w:jc w:val="center"/>
              <w:rPr>
                <w:rFonts w:ascii="Arial" w:hAnsi="Arial" w:cs="Arial"/>
              </w:rPr>
            </w:pPr>
            <w:r w:rsidRPr="00AB547C">
              <w:rPr>
                <w:rFonts w:ascii="Arial" w:hAnsi="Arial" w:cs="Arial"/>
              </w:rPr>
              <w:t>3,486,877 (2019/20)</w:t>
            </w:r>
          </w:p>
          <w:p w14:paraId="5A45E6EB" w14:textId="77777777" w:rsidR="00170D99" w:rsidRPr="00AB547C" w:rsidRDefault="00170D99" w:rsidP="00654F8B">
            <w:pPr>
              <w:pStyle w:val="NoSpacing"/>
              <w:jc w:val="center"/>
              <w:rPr>
                <w:rFonts w:ascii="Arial" w:hAnsi="Arial" w:cs="Arial"/>
              </w:rPr>
            </w:pPr>
          </w:p>
          <w:p w14:paraId="46B8B89C" w14:textId="77777777" w:rsidR="00170D99" w:rsidRPr="00AB547C" w:rsidRDefault="00170D99" w:rsidP="00654F8B">
            <w:pPr>
              <w:pStyle w:val="NoSpacing"/>
              <w:jc w:val="cente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FF0000"/>
          </w:tcPr>
          <w:p w14:paraId="378F2073" w14:textId="77777777" w:rsidR="00170D99" w:rsidRPr="00F054E3" w:rsidRDefault="006219DA" w:rsidP="00654F8B">
            <w:pPr>
              <w:jc w:val="center"/>
              <w:rPr>
                <w:color w:val="FFFFFF" w:themeColor="background1"/>
              </w:rPr>
            </w:pPr>
            <w:r w:rsidRPr="00F054E3">
              <w:rPr>
                <w:color w:val="FFFFFF" w:themeColor="background1"/>
                <w:sz w:val="22"/>
                <w:szCs w:val="22"/>
              </w:rPr>
              <w:t>477,981 (2020/21)</w:t>
            </w:r>
          </w:p>
          <w:p w14:paraId="08DCA536" w14:textId="77777777" w:rsidR="00170D99" w:rsidRPr="00F054E3" w:rsidRDefault="00170D99" w:rsidP="00654F8B">
            <w:pPr>
              <w:jc w:val="center"/>
              <w:rPr>
                <w:color w:val="FFFFFF" w:themeColor="background1"/>
              </w:rPr>
            </w:pPr>
          </w:p>
        </w:tc>
        <w:tc>
          <w:tcPr>
            <w:tcW w:w="1485" w:type="dxa"/>
            <w:tcBorders>
              <w:top w:val="single" w:sz="4" w:space="0" w:color="auto"/>
              <w:left w:val="single" w:sz="4" w:space="0" w:color="auto"/>
              <w:bottom w:val="single" w:sz="4" w:space="0" w:color="auto"/>
              <w:right w:val="single" w:sz="4" w:space="0" w:color="auto"/>
            </w:tcBorders>
            <w:shd w:val="clear" w:color="auto" w:fill="FF0000"/>
          </w:tcPr>
          <w:p w14:paraId="13BABC65" w14:textId="77777777" w:rsidR="00170D99" w:rsidRPr="00F054E3" w:rsidRDefault="006219DA" w:rsidP="00654F8B">
            <w:pPr>
              <w:jc w:val="center"/>
              <w:rPr>
                <w:color w:val="FFFFFF" w:themeColor="background1"/>
              </w:rPr>
            </w:pPr>
            <w:r w:rsidRPr="00F054E3">
              <w:rPr>
                <w:color w:val="FFFFFF" w:themeColor="background1"/>
              </w:rPr>
              <w:t>265,139</w:t>
            </w:r>
          </w:p>
        </w:tc>
        <w:tc>
          <w:tcPr>
            <w:tcW w:w="20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DA35DF" w14:textId="77777777" w:rsidR="00170D99" w:rsidRPr="00D15808" w:rsidRDefault="006219DA" w:rsidP="00654F8B">
            <w:pPr>
              <w:jc w:val="center"/>
              <w:rPr>
                <w:color w:val="000000" w:themeColor="text1"/>
              </w:rPr>
            </w:pPr>
            <w:r w:rsidRPr="00D15808">
              <w:rPr>
                <w:rFonts w:eastAsia="Arial" w:cs="Arial"/>
                <w:sz w:val="22"/>
                <w:szCs w:val="22"/>
              </w:rPr>
              <w:t>393,140</w:t>
            </w:r>
          </w:p>
          <w:p w14:paraId="37519B48" w14:textId="77777777" w:rsidR="00170D99" w:rsidRPr="00D15808" w:rsidRDefault="006219DA" w:rsidP="00654F8B">
            <w:pPr>
              <w:jc w:val="center"/>
              <w:rPr>
                <w:color w:val="000000" w:themeColor="text1"/>
              </w:rPr>
            </w:pPr>
            <w:r w:rsidRPr="00D15808">
              <w:rPr>
                <w:rFonts w:eastAsia="Arial" w:cs="Arial"/>
                <w:color w:val="000000" w:themeColor="text1"/>
                <w:sz w:val="22"/>
                <w:szCs w:val="22"/>
              </w:rPr>
              <w:t>658,279 (cumulative total)</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50BEE8F4" w14:textId="77777777" w:rsidR="00170D99" w:rsidRPr="00AB547C" w:rsidRDefault="006219DA" w:rsidP="00654F8B">
            <w:pPr>
              <w:jc w:val="center"/>
              <w:rPr>
                <w:rFonts w:eastAsia="Arial" w:cs="Arial"/>
                <w:sz w:val="22"/>
                <w:szCs w:val="22"/>
              </w:rPr>
            </w:pPr>
            <w:r w:rsidRPr="4E6013FB">
              <w:rPr>
                <w:rFonts w:eastAsia="Arial" w:cs="Arial"/>
                <w:sz w:val="22"/>
                <w:szCs w:val="22"/>
              </w:rPr>
              <w:t>1,400,000</w:t>
            </w:r>
          </w:p>
          <w:p w14:paraId="0B91FE12" w14:textId="77777777" w:rsidR="00170D99" w:rsidRDefault="006219DA" w:rsidP="00654F8B">
            <w:pPr>
              <w:jc w:val="center"/>
              <w:rPr>
                <w:rFonts w:eastAsia="Arial" w:cs="Arial"/>
                <w:sz w:val="22"/>
                <w:szCs w:val="22"/>
              </w:rPr>
            </w:pPr>
            <w:r w:rsidRPr="00BD2408">
              <w:rPr>
                <w:rFonts w:eastAsia="Arial" w:cs="Arial"/>
                <w:sz w:val="22"/>
                <w:szCs w:val="22"/>
              </w:rPr>
              <w:t>(Target reviewed: See Notes)</w:t>
            </w:r>
            <w:r w:rsidRPr="00BD2408">
              <w:br/>
            </w:r>
            <w:r w:rsidRPr="00BD2408">
              <w:rPr>
                <w:rFonts w:eastAsia="Arial" w:cs="Arial"/>
                <w:sz w:val="22"/>
                <w:szCs w:val="22"/>
              </w:rPr>
              <w:t>Previously 4,000,000</w:t>
            </w:r>
          </w:p>
          <w:p w14:paraId="46FBC3A3" w14:textId="5C88EA51" w:rsidR="00654F8B" w:rsidRPr="00AB547C" w:rsidRDefault="00654F8B" w:rsidP="00654F8B">
            <w:pPr>
              <w:jc w:val="center"/>
              <w:rPr>
                <w:rFonts w:eastAsia="Arial" w:cs="Arial"/>
                <w:sz w:val="22"/>
                <w:szCs w:val="22"/>
              </w:rPr>
            </w:pPr>
          </w:p>
        </w:tc>
      </w:tr>
      <w:tr w:rsidR="00176ACB" w14:paraId="4A9D1558" w14:textId="77777777" w:rsidTr="00292773">
        <w:trPr>
          <w:trHeight w:val="983"/>
        </w:trPr>
        <w:tc>
          <w:tcPr>
            <w:tcW w:w="2370" w:type="dxa"/>
            <w:tcBorders>
              <w:top w:val="single" w:sz="4" w:space="0" w:color="auto"/>
              <w:left w:val="single" w:sz="4" w:space="0" w:color="auto"/>
              <w:bottom w:val="single" w:sz="4" w:space="0" w:color="auto"/>
              <w:right w:val="single" w:sz="4" w:space="0" w:color="auto"/>
            </w:tcBorders>
            <w:shd w:val="clear" w:color="auto" w:fill="auto"/>
          </w:tcPr>
          <w:p w14:paraId="05B51B69" w14:textId="7C3ED85B" w:rsidR="00090583" w:rsidRPr="00AB547C" w:rsidRDefault="006219DA" w:rsidP="00090583">
            <w:pPr>
              <w:pStyle w:val="NoSpacing"/>
              <w:rPr>
                <w:rFonts w:ascii="Arial" w:hAnsi="Arial" w:cs="Arial"/>
              </w:rPr>
            </w:pPr>
            <w:r w:rsidRPr="00A03613">
              <w:rPr>
                <w:rFonts w:ascii="Arial" w:hAnsi="Arial" w:cs="Arial"/>
                <w:b/>
                <w:sz w:val="20"/>
                <w:szCs w:val="20"/>
              </w:rPr>
              <w:t>Performance Indicator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E94093" w14:textId="11FF23E1" w:rsidR="00090583" w:rsidRPr="00AB547C" w:rsidRDefault="006219DA" w:rsidP="00090583">
            <w:pPr>
              <w:pStyle w:val="NoSpacing"/>
              <w:rPr>
                <w:rFonts w:ascii="Arial" w:hAnsi="Arial" w:cs="Arial"/>
              </w:rPr>
            </w:pPr>
            <w:r w:rsidRPr="00A03613">
              <w:rPr>
                <w:rFonts w:ascii="Arial" w:hAnsi="Arial" w:cs="Arial"/>
                <w:b/>
                <w:sz w:val="20"/>
                <w:szCs w:val="20"/>
              </w:rPr>
              <w:t>Frequency</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25EFF12" w14:textId="04103C4B" w:rsidR="00090583" w:rsidRPr="00AB547C" w:rsidRDefault="006219DA" w:rsidP="00090583">
            <w:pPr>
              <w:pStyle w:val="NoSpacing"/>
              <w:rPr>
                <w:rFonts w:ascii="Arial" w:hAnsi="Arial" w:cs="Arial"/>
              </w:rPr>
            </w:pPr>
            <w:r w:rsidRPr="00A03613">
              <w:rPr>
                <w:rFonts w:ascii="Arial" w:hAnsi="Arial" w:cs="Arial"/>
                <w:b/>
                <w:sz w:val="20"/>
                <w:szCs w:val="20"/>
              </w:rPr>
              <w:t xml:space="preserve">Directorate </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116BF832" w14:textId="7DE5BCA5" w:rsidR="00090583" w:rsidRPr="00AB547C" w:rsidRDefault="006219DA" w:rsidP="00090583">
            <w:pPr>
              <w:pStyle w:val="NoSpacing"/>
              <w:rPr>
                <w:rFonts w:ascii="Arial" w:hAnsi="Arial" w:cs="Arial"/>
              </w:rPr>
            </w:pPr>
            <w:r w:rsidRPr="00A03613">
              <w:rPr>
                <w:rFonts w:ascii="Arial" w:hAnsi="Arial" w:cs="Arial"/>
                <w:b/>
                <w:sz w:val="20"/>
                <w:szCs w:val="20"/>
              </w:rPr>
              <w:t>Good is</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761D5D28" w14:textId="7182F701" w:rsidR="00090583" w:rsidRPr="00AB547C" w:rsidRDefault="006219DA" w:rsidP="00090583">
            <w:pPr>
              <w:pStyle w:val="NoSpacing"/>
              <w:jc w:val="center"/>
              <w:rPr>
                <w:rFonts w:ascii="Arial" w:hAnsi="Arial" w:cs="Arial"/>
              </w:rPr>
            </w:pPr>
            <w:r w:rsidRPr="00A03613">
              <w:rPr>
                <w:rFonts w:ascii="Arial" w:hAnsi="Arial" w:cs="Arial"/>
                <w:b/>
                <w:bCs/>
                <w:sz w:val="20"/>
                <w:szCs w:val="20"/>
              </w:rPr>
              <w:t>2019/20 Outturn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F8BCF90" w14:textId="484AE550" w:rsidR="00090583" w:rsidRPr="00F054E3" w:rsidRDefault="006219DA" w:rsidP="00090583">
            <w:pPr>
              <w:pStyle w:val="NoSpacing"/>
              <w:jc w:val="center"/>
              <w:rPr>
                <w:rFonts w:ascii="Arial" w:eastAsia="Arial" w:hAnsi="Arial" w:cs="Arial"/>
                <w:color w:val="FFFFFF" w:themeColor="background1"/>
              </w:rPr>
            </w:pPr>
            <w:r w:rsidRPr="00A03613">
              <w:rPr>
                <w:rFonts w:ascii="Arial" w:hAnsi="Arial" w:cs="Arial"/>
                <w:b/>
                <w:bCs/>
                <w:sz w:val="20"/>
                <w:szCs w:val="20"/>
              </w:rPr>
              <w:t>2020/21 Outturn</w:t>
            </w:r>
          </w:p>
        </w:tc>
        <w:tc>
          <w:tcPr>
            <w:tcW w:w="1485" w:type="dxa"/>
            <w:tcBorders>
              <w:top w:val="single" w:sz="4" w:space="0" w:color="auto"/>
              <w:left w:val="single" w:sz="4" w:space="0" w:color="auto"/>
              <w:bottom w:val="single" w:sz="4" w:space="0" w:color="auto"/>
              <w:right w:val="single" w:sz="4" w:space="0" w:color="auto"/>
            </w:tcBorders>
            <w:shd w:val="clear" w:color="auto" w:fill="auto"/>
          </w:tcPr>
          <w:p w14:paraId="7C4C02F4" w14:textId="77777777" w:rsidR="00090583" w:rsidRPr="00A03613" w:rsidRDefault="006219DA" w:rsidP="00090583">
            <w:pPr>
              <w:pStyle w:val="NoSpacing"/>
              <w:rPr>
                <w:rFonts w:ascii="Arial" w:hAnsi="Arial" w:cs="Arial"/>
                <w:b/>
                <w:bCs/>
                <w:sz w:val="20"/>
                <w:szCs w:val="20"/>
              </w:rPr>
            </w:pPr>
            <w:r w:rsidRPr="00A03613">
              <w:rPr>
                <w:rFonts w:ascii="Arial" w:hAnsi="Arial" w:cs="Arial"/>
                <w:b/>
                <w:bCs/>
                <w:sz w:val="20"/>
                <w:szCs w:val="20"/>
              </w:rPr>
              <w:t>2021/22 Quarter 1 (April –June)</w:t>
            </w:r>
          </w:p>
          <w:p w14:paraId="11A6AB7F" w14:textId="77777777" w:rsidR="00090583" w:rsidRPr="00F054E3" w:rsidRDefault="00090583" w:rsidP="00090583">
            <w:pPr>
              <w:pStyle w:val="NoSpacing"/>
              <w:jc w:val="center"/>
              <w:rPr>
                <w:rFonts w:ascii="Arial" w:eastAsia="Arial" w:hAnsi="Arial" w:cs="Arial"/>
                <w:color w:val="FFFFFF" w:themeColor="background1"/>
              </w:rPr>
            </w:pP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0B1A4321" w14:textId="77777777" w:rsidR="00090583" w:rsidRPr="00A03613" w:rsidRDefault="006219DA" w:rsidP="00090583">
            <w:pPr>
              <w:pStyle w:val="NoSpacing"/>
              <w:jc w:val="center"/>
              <w:rPr>
                <w:rFonts w:ascii="Arial" w:hAnsi="Arial" w:cs="Arial"/>
                <w:b/>
                <w:bCs/>
                <w:sz w:val="20"/>
                <w:szCs w:val="20"/>
              </w:rPr>
            </w:pPr>
            <w:r w:rsidRPr="00A03613">
              <w:rPr>
                <w:rFonts w:ascii="Arial" w:hAnsi="Arial" w:cs="Arial"/>
                <w:b/>
                <w:bCs/>
                <w:sz w:val="20"/>
                <w:szCs w:val="20"/>
              </w:rPr>
              <w:t>2021/22</w:t>
            </w:r>
          </w:p>
          <w:p w14:paraId="098DFF77" w14:textId="77777777" w:rsidR="00090583" w:rsidRPr="00A03613" w:rsidRDefault="006219DA" w:rsidP="00090583">
            <w:pPr>
              <w:pStyle w:val="NoSpacing"/>
              <w:jc w:val="center"/>
              <w:rPr>
                <w:rFonts w:ascii="Arial" w:hAnsi="Arial" w:cs="Arial"/>
                <w:b/>
                <w:bCs/>
                <w:sz w:val="20"/>
                <w:szCs w:val="20"/>
              </w:rPr>
            </w:pPr>
            <w:r w:rsidRPr="00A03613">
              <w:rPr>
                <w:rFonts w:ascii="Arial" w:hAnsi="Arial" w:cs="Arial"/>
                <w:b/>
                <w:bCs/>
                <w:sz w:val="20"/>
                <w:szCs w:val="20"/>
              </w:rPr>
              <w:t>Quarter 2</w:t>
            </w:r>
          </w:p>
          <w:p w14:paraId="420DD4FE" w14:textId="278E2DBB" w:rsidR="00090583" w:rsidRPr="00D15808" w:rsidRDefault="006219DA" w:rsidP="00090583">
            <w:pPr>
              <w:pStyle w:val="NoSpacing"/>
              <w:jc w:val="center"/>
              <w:rPr>
                <w:rFonts w:ascii="Arial" w:eastAsia="Arial" w:hAnsi="Arial" w:cs="Arial"/>
                <w:color w:val="000000" w:themeColor="text1"/>
              </w:rPr>
            </w:pPr>
            <w:r w:rsidRPr="00A03613">
              <w:rPr>
                <w:rFonts w:ascii="Arial" w:hAnsi="Arial" w:cs="Arial"/>
                <w:b/>
                <w:bCs/>
                <w:sz w:val="20"/>
                <w:szCs w:val="20"/>
              </w:rPr>
              <w:t>(July – Sep)</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27B0F469" w14:textId="147D2CF0" w:rsidR="00090583" w:rsidRPr="4E6013FB" w:rsidRDefault="006219DA" w:rsidP="00090583">
            <w:pPr>
              <w:pStyle w:val="NoSpacing"/>
              <w:jc w:val="center"/>
              <w:rPr>
                <w:rFonts w:ascii="Arial" w:eastAsia="Arial" w:hAnsi="Arial" w:cs="Arial"/>
                <w:color w:val="000000" w:themeColor="text1"/>
              </w:rPr>
            </w:pPr>
            <w:r w:rsidRPr="00A03613">
              <w:rPr>
                <w:rFonts w:ascii="Arial" w:hAnsi="Arial" w:cs="Arial"/>
                <w:b/>
                <w:bCs/>
                <w:sz w:val="20"/>
                <w:szCs w:val="20"/>
              </w:rPr>
              <w:t>2021/22 Target</w:t>
            </w:r>
          </w:p>
        </w:tc>
      </w:tr>
      <w:tr w:rsidR="00176ACB" w14:paraId="3AD103A9" w14:textId="77777777" w:rsidTr="009722F4">
        <w:trPr>
          <w:trHeight w:val="1833"/>
        </w:trPr>
        <w:tc>
          <w:tcPr>
            <w:tcW w:w="2370" w:type="dxa"/>
            <w:tcBorders>
              <w:top w:val="single" w:sz="4" w:space="0" w:color="auto"/>
              <w:left w:val="single" w:sz="4" w:space="0" w:color="auto"/>
              <w:bottom w:val="single" w:sz="4" w:space="0" w:color="auto"/>
              <w:right w:val="single" w:sz="4" w:space="0" w:color="auto"/>
            </w:tcBorders>
          </w:tcPr>
          <w:p w14:paraId="19FA376A" w14:textId="77777777" w:rsidR="00090583" w:rsidRPr="00AB547C" w:rsidRDefault="006219DA" w:rsidP="00090583">
            <w:pPr>
              <w:pStyle w:val="NoSpacing"/>
              <w:rPr>
                <w:rFonts w:ascii="Arial" w:hAnsi="Arial" w:cs="Arial"/>
              </w:rPr>
            </w:pPr>
            <w:r w:rsidRPr="00AB547C">
              <w:rPr>
                <w:rFonts w:ascii="Arial" w:hAnsi="Arial" w:cs="Arial"/>
              </w:rPr>
              <w:t>Number of PNET sessions (annual cumulative indicator)</w:t>
            </w:r>
          </w:p>
        </w:tc>
        <w:tc>
          <w:tcPr>
            <w:tcW w:w="1350" w:type="dxa"/>
            <w:tcBorders>
              <w:top w:val="single" w:sz="4" w:space="0" w:color="auto"/>
              <w:left w:val="single" w:sz="4" w:space="0" w:color="auto"/>
              <w:bottom w:val="single" w:sz="4" w:space="0" w:color="auto"/>
              <w:right w:val="single" w:sz="4" w:space="0" w:color="auto"/>
            </w:tcBorders>
          </w:tcPr>
          <w:p w14:paraId="2F2C8E70" w14:textId="77777777" w:rsidR="00090583" w:rsidRPr="00AB547C" w:rsidRDefault="006219DA" w:rsidP="00090583">
            <w:pPr>
              <w:pStyle w:val="NoSpacing"/>
              <w:rPr>
                <w:rFonts w:ascii="Arial" w:hAnsi="Arial" w:cs="Arial"/>
              </w:rPr>
            </w:pPr>
            <w:r w:rsidRPr="00AB547C">
              <w:rPr>
                <w:rFonts w:ascii="Arial" w:hAnsi="Arial" w:cs="Arial"/>
              </w:rPr>
              <w:t>Quarterly</w:t>
            </w:r>
          </w:p>
        </w:tc>
        <w:tc>
          <w:tcPr>
            <w:tcW w:w="1410" w:type="dxa"/>
            <w:tcBorders>
              <w:top w:val="single" w:sz="4" w:space="0" w:color="auto"/>
              <w:left w:val="single" w:sz="4" w:space="0" w:color="auto"/>
              <w:bottom w:val="single" w:sz="4" w:space="0" w:color="auto"/>
              <w:right w:val="single" w:sz="4" w:space="0" w:color="auto"/>
            </w:tcBorders>
          </w:tcPr>
          <w:p w14:paraId="5B61299D" w14:textId="77777777" w:rsidR="00090583" w:rsidRPr="00AB547C" w:rsidRDefault="006219DA" w:rsidP="00090583">
            <w:pPr>
              <w:pStyle w:val="NoSpacing"/>
              <w:rPr>
                <w:rFonts w:ascii="Arial" w:hAnsi="Arial" w:cs="Arial"/>
              </w:rPr>
            </w:pPr>
            <w:r w:rsidRPr="00AB547C">
              <w:rPr>
                <w:rFonts w:ascii="Arial" w:hAnsi="Arial" w:cs="Arial"/>
              </w:rPr>
              <w:t>Education and Children's Services</w:t>
            </w:r>
          </w:p>
        </w:tc>
        <w:tc>
          <w:tcPr>
            <w:tcW w:w="1290" w:type="dxa"/>
            <w:tcBorders>
              <w:top w:val="single" w:sz="4" w:space="0" w:color="auto"/>
              <w:left w:val="single" w:sz="4" w:space="0" w:color="auto"/>
              <w:bottom w:val="single" w:sz="4" w:space="0" w:color="auto"/>
              <w:right w:val="single" w:sz="4" w:space="0" w:color="auto"/>
            </w:tcBorders>
          </w:tcPr>
          <w:p w14:paraId="39865E74" w14:textId="77777777" w:rsidR="00090583" w:rsidRPr="00AB547C" w:rsidRDefault="006219DA" w:rsidP="00090583">
            <w:pPr>
              <w:pStyle w:val="NoSpacing"/>
              <w:rPr>
                <w:rFonts w:ascii="Arial" w:hAnsi="Arial" w:cs="Arial"/>
              </w:rPr>
            </w:pPr>
            <w:r w:rsidRPr="00AB547C">
              <w:rPr>
                <w:rFonts w:ascii="Arial" w:hAnsi="Arial" w:cs="Arial"/>
              </w:rPr>
              <w:t>High</w:t>
            </w:r>
          </w:p>
        </w:tc>
        <w:tc>
          <w:tcPr>
            <w:tcW w:w="129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2E249A0" w14:textId="77777777" w:rsidR="00090583" w:rsidRPr="00AB547C" w:rsidRDefault="006219DA" w:rsidP="00090583">
            <w:pPr>
              <w:pStyle w:val="NoSpacing"/>
              <w:jc w:val="center"/>
              <w:rPr>
                <w:rFonts w:ascii="Arial" w:hAnsi="Arial" w:cs="Arial"/>
              </w:rPr>
            </w:pPr>
            <w:r w:rsidRPr="00AB547C">
              <w:rPr>
                <w:rFonts w:ascii="Arial" w:hAnsi="Arial" w:cs="Arial"/>
              </w:rPr>
              <w:t>504,007 (2019/20)</w:t>
            </w:r>
          </w:p>
          <w:p w14:paraId="6E2F75E2" w14:textId="77777777" w:rsidR="00090583" w:rsidRPr="00AB547C" w:rsidRDefault="00090583" w:rsidP="00090583">
            <w:pPr>
              <w:pStyle w:val="NoSpacing"/>
              <w:jc w:val="center"/>
              <w:rPr>
                <w:rFonts w:ascii="Arial" w:hAnsi="Arial" w:cs="Arial"/>
              </w:rPr>
            </w:pPr>
          </w:p>
          <w:p w14:paraId="2DCA5B8F" w14:textId="77777777" w:rsidR="00090583" w:rsidRPr="00AB547C" w:rsidRDefault="00090583" w:rsidP="00090583">
            <w:pPr>
              <w:pStyle w:val="NoSpacing"/>
              <w:jc w:val="cente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FF0000"/>
          </w:tcPr>
          <w:p w14:paraId="47274B8D" w14:textId="77777777" w:rsidR="00090583" w:rsidRPr="00F054E3" w:rsidRDefault="006219DA" w:rsidP="00090583">
            <w:pPr>
              <w:pStyle w:val="NoSpacing"/>
              <w:jc w:val="center"/>
              <w:rPr>
                <w:color w:val="FFFFFF" w:themeColor="background1"/>
              </w:rPr>
            </w:pPr>
            <w:r w:rsidRPr="00F054E3">
              <w:rPr>
                <w:rFonts w:ascii="Arial" w:eastAsia="Arial" w:hAnsi="Arial" w:cs="Arial"/>
                <w:color w:val="FFFFFF" w:themeColor="background1"/>
              </w:rPr>
              <w:t>55,646 (2020/21)</w:t>
            </w:r>
          </w:p>
        </w:tc>
        <w:tc>
          <w:tcPr>
            <w:tcW w:w="1485" w:type="dxa"/>
            <w:tcBorders>
              <w:top w:val="single" w:sz="4" w:space="0" w:color="auto"/>
              <w:left w:val="single" w:sz="4" w:space="0" w:color="auto"/>
              <w:bottom w:val="single" w:sz="4" w:space="0" w:color="auto"/>
              <w:right w:val="single" w:sz="4" w:space="0" w:color="auto"/>
            </w:tcBorders>
            <w:shd w:val="clear" w:color="auto" w:fill="FF0000"/>
          </w:tcPr>
          <w:p w14:paraId="498A2874" w14:textId="77777777" w:rsidR="00090583" w:rsidRPr="00F054E3" w:rsidRDefault="006219DA" w:rsidP="00090583">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28,639</w:t>
            </w:r>
          </w:p>
        </w:tc>
        <w:tc>
          <w:tcPr>
            <w:tcW w:w="20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3EC7E0" w14:textId="77777777" w:rsidR="00090583" w:rsidRPr="00D15808" w:rsidRDefault="006219DA" w:rsidP="00090583">
            <w:pPr>
              <w:pStyle w:val="NoSpacing"/>
              <w:jc w:val="center"/>
              <w:rPr>
                <w:rFonts w:eastAsia="Arial" w:cs="Arial"/>
              </w:rPr>
            </w:pPr>
            <w:r w:rsidRPr="00D15808">
              <w:rPr>
                <w:rFonts w:ascii="Arial" w:eastAsia="Arial" w:hAnsi="Arial" w:cs="Arial"/>
                <w:color w:val="000000" w:themeColor="text1"/>
              </w:rPr>
              <w:t>39,605</w:t>
            </w:r>
          </w:p>
          <w:p w14:paraId="0786BF22" w14:textId="77777777" w:rsidR="00090583" w:rsidRPr="00D15808" w:rsidRDefault="00090583" w:rsidP="00090583">
            <w:pPr>
              <w:pStyle w:val="NoSpacing"/>
              <w:jc w:val="center"/>
              <w:rPr>
                <w:rFonts w:eastAsia="Arial" w:cs="Arial"/>
              </w:rPr>
            </w:pPr>
          </w:p>
          <w:p w14:paraId="575F3E43" w14:textId="77777777" w:rsidR="00090583" w:rsidRPr="00D15808" w:rsidRDefault="006219DA" w:rsidP="00090583">
            <w:pPr>
              <w:pStyle w:val="NoSpacing"/>
              <w:jc w:val="center"/>
              <w:rPr>
                <w:rFonts w:eastAsia="Arial" w:cs="Arial"/>
              </w:rPr>
            </w:pPr>
            <w:r w:rsidRPr="00D15808">
              <w:rPr>
                <w:rFonts w:ascii="Arial" w:eastAsia="Arial" w:hAnsi="Arial" w:cs="Arial"/>
                <w:color w:val="000000" w:themeColor="text1"/>
              </w:rPr>
              <w:t>68,244 (cumulative total)</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7BE4720B" w14:textId="77777777" w:rsidR="00090583" w:rsidRPr="00AB547C" w:rsidRDefault="006219DA" w:rsidP="00090583">
            <w:pPr>
              <w:pStyle w:val="NoSpacing"/>
              <w:jc w:val="center"/>
              <w:rPr>
                <w:rFonts w:eastAsia="Arial" w:cs="Arial"/>
              </w:rPr>
            </w:pPr>
            <w:r w:rsidRPr="4E6013FB">
              <w:rPr>
                <w:rFonts w:ascii="Arial" w:eastAsia="Arial" w:hAnsi="Arial" w:cs="Arial"/>
                <w:color w:val="000000" w:themeColor="text1"/>
              </w:rPr>
              <w:t>150,000</w:t>
            </w:r>
          </w:p>
          <w:p w14:paraId="05F80ACF" w14:textId="77777777" w:rsidR="00090583" w:rsidRPr="00BD2408" w:rsidRDefault="006219DA" w:rsidP="00090583">
            <w:pPr>
              <w:pStyle w:val="NoSpacing"/>
              <w:jc w:val="center"/>
              <w:rPr>
                <w:rFonts w:ascii="Arial" w:eastAsia="Arial" w:hAnsi="Arial" w:cs="Arial"/>
                <w:color w:val="000000" w:themeColor="text1"/>
              </w:rPr>
            </w:pPr>
            <w:r w:rsidRPr="00BD2408">
              <w:rPr>
                <w:rFonts w:ascii="Arial" w:eastAsia="Arial" w:hAnsi="Arial" w:cs="Arial"/>
                <w:color w:val="000000" w:themeColor="text1"/>
              </w:rPr>
              <w:t>(Target reviewed: See Notes)</w:t>
            </w:r>
          </w:p>
          <w:p w14:paraId="17C34F97" w14:textId="147D5BF0" w:rsidR="00090583" w:rsidRPr="00AB547C" w:rsidRDefault="006219DA" w:rsidP="00090583">
            <w:pPr>
              <w:pStyle w:val="NoSpacing"/>
              <w:jc w:val="center"/>
              <w:rPr>
                <w:rFonts w:eastAsia="Arial" w:cs="Arial"/>
              </w:rPr>
            </w:pPr>
            <w:r>
              <w:rPr>
                <w:rFonts w:ascii="Arial" w:eastAsia="Arial" w:hAnsi="Arial" w:cs="Arial"/>
                <w:color w:val="000000" w:themeColor="text1"/>
              </w:rPr>
              <w:t>Target p</w:t>
            </w:r>
            <w:r w:rsidRPr="00BD2408">
              <w:rPr>
                <w:rFonts w:ascii="Arial" w:eastAsia="Arial" w:hAnsi="Arial" w:cs="Arial"/>
                <w:color w:val="000000" w:themeColor="text1"/>
              </w:rPr>
              <w:t>reviously 621,000</w:t>
            </w:r>
          </w:p>
        </w:tc>
      </w:tr>
      <w:tr w:rsidR="00176ACB" w14:paraId="5365E938" w14:textId="77777777" w:rsidTr="00292773">
        <w:trPr>
          <w:trHeight w:val="1515"/>
        </w:trPr>
        <w:tc>
          <w:tcPr>
            <w:tcW w:w="2370" w:type="dxa"/>
            <w:tcBorders>
              <w:top w:val="single" w:sz="4" w:space="0" w:color="auto"/>
              <w:left w:val="single" w:sz="4" w:space="0" w:color="auto"/>
              <w:bottom w:val="single" w:sz="4" w:space="0" w:color="auto"/>
              <w:right w:val="single" w:sz="4" w:space="0" w:color="auto"/>
            </w:tcBorders>
          </w:tcPr>
          <w:p w14:paraId="7F863FE2" w14:textId="77777777" w:rsidR="00090583" w:rsidRPr="00AB547C" w:rsidRDefault="006219DA" w:rsidP="00090583">
            <w:pPr>
              <w:pStyle w:val="NoSpacing"/>
              <w:rPr>
                <w:rFonts w:ascii="Arial" w:hAnsi="Arial" w:cs="Arial"/>
              </w:rPr>
            </w:pPr>
            <w:bookmarkStart w:id="3" w:name="_Hlk74313746"/>
            <w:r w:rsidRPr="00AB547C">
              <w:rPr>
                <w:rFonts w:ascii="Arial" w:hAnsi="Arial" w:cs="Arial"/>
              </w:rPr>
              <w:t>Number of library events organised (annual cumulative indicator)</w:t>
            </w:r>
          </w:p>
        </w:tc>
        <w:tc>
          <w:tcPr>
            <w:tcW w:w="1350" w:type="dxa"/>
            <w:tcBorders>
              <w:top w:val="single" w:sz="4" w:space="0" w:color="auto"/>
              <w:left w:val="single" w:sz="4" w:space="0" w:color="auto"/>
              <w:bottom w:val="single" w:sz="4" w:space="0" w:color="auto"/>
              <w:right w:val="single" w:sz="4" w:space="0" w:color="auto"/>
            </w:tcBorders>
          </w:tcPr>
          <w:p w14:paraId="5C4DCAF8" w14:textId="77777777" w:rsidR="00090583" w:rsidRPr="00AB547C" w:rsidRDefault="006219DA" w:rsidP="00090583">
            <w:pPr>
              <w:pStyle w:val="NoSpacing"/>
              <w:rPr>
                <w:rFonts w:ascii="Arial" w:hAnsi="Arial" w:cs="Arial"/>
              </w:rPr>
            </w:pPr>
            <w:r w:rsidRPr="00AB547C">
              <w:rPr>
                <w:rFonts w:ascii="Arial" w:hAnsi="Arial" w:cs="Arial"/>
              </w:rPr>
              <w:t>Quarterly</w:t>
            </w:r>
          </w:p>
        </w:tc>
        <w:tc>
          <w:tcPr>
            <w:tcW w:w="1410" w:type="dxa"/>
            <w:tcBorders>
              <w:top w:val="single" w:sz="4" w:space="0" w:color="auto"/>
              <w:left w:val="single" w:sz="4" w:space="0" w:color="auto"/>
              <w:bottom w:val="single" w:sz="4" w:space="0" w:color="auto"/>
              <w:right w:val="single" w:sz="4" w:space="0" w:color="auto"/>
            </w:tcBorders>
          </w:tcPr>
          <w:p w14:paraId="2F706E53" w14:textId="77777777" w:rsidR="00090583" w:rsidRPr="00AB547C" w:rsidRDefault="006219DA" w:rsidP="00090583">
            <w:pPr>
              <w:pStyle w:val="NoSpacing"/>
              <w:rPr>
                <w:rFonts w:ascii="Arial" w:hAnsi="Arial" w:cs="Arial"/>
              </w:rPr>
            </w:pPr>
            <w:r w:rsidRPr="00AB547C">
              <w:rPr>
                <w:rFonts w:ascii="Arial" w:hAnsi="Arial" w:cs="Arial"/>
              </w:rPr>
              <w:t xml:space="preserve">Education and Children's Services </w:t>
            </w:r>
          </w:p>
        </w:tc>
        <w:tc>
          <w:tcPr>
            <w:tcW w:w="1290" w:type="dxa"/>
            <w:tcBorders>
              <w:top w:val="single" w:sz="4" w:space="0" w:color="auto"/>
              <w:left w:val="single" w:sz="4" w:space="0" w:color="auto"/>
              <w:bottom w:val="single" w:sz="4" w:space="0" w:color="auto"/>
              <w:right w:val="single" w:sz="4" w:space="0" w:color="auto"/>
            </w:tcBorders>
          </w:tcPr>
          <w:p w14:paraId="07454504" w14:textId="77777777" w:rsidR="00090583" w:rsidRPr="00AB547C" w:rsidRDefault="006219DA" w:rsidP="00090583">
            <w:pPr>
              <w:pStyle w:val="NoSpacing"/>
              <w:rPr>
                <w:rFonts w:ascii="Arial" w:hAnsi="Arial" w:cs="Arial"/>
              </w:rPr>
            </w:pPr>
            <w:r w:rsidRPr="00AB547C">
              <w:rPr>
                <w:rFonts w:ascii="Arial" w:hAnsi="Arial" w:cs="Arial"/>
              </w:rPr>
              <w:t>High</w:t>
            </w:r>
          </w:p>
        </w:tc>
        <w:tc>
          <w:tcPr>
            <w:tcW w:w="12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755C49" w14:textId="77777777" w:rsidR="00090583" w:rsidRPr="00AB547C" w:rsidRDefault="006219DA" w:rsidP="00090583">
            <w:pPr>
              <w:pStyle w:val="NoSpacing"/>
              <w:jc w:val="center"/>
              <w:rPr>
                <w:rFonts w:ascii="Arial" w:hAnsi="Arial" w:cs="Arial"/>
              </w:rPr>
            </w:pPr>
            <w:r w:rsidRPr="00D34F94">
              <w:rPr>
                <w:rFonts w:ascii="Arial" w:hAnsi="Arial" w:cs="Arial"/>
              </w:rPr>
              <w:t xml:space="preserve">11,718 </w:t>
            </w:r>
            <w:r w:rsidRPr="00AB547C">
              <w:rPr>
                <w:rFonts w:ascii="Arial" w:hAnsi="Arial" w:cs="Arial"/>
              </w:rPr>
              <w:t>(2019/20)</w:t>
            </w:r>
          </w:p>
          <w:p w14:paraId="3C6207FA" w14:textId="77777777" w:rsidR="00090583" w:rsidRPr="00AB547C" w:rsidRDefault="00090583" w:rsidP="00090583">
            <w:pPr>
              <w:pStyle w:val="NoSpacing"/>
              <w:jc w:val="center"/>
              <w:rPr>
                <w:rFonts w:ascii="Arial" w:hAnsi="Arial" w:cs="Arial"/>
              </w:rPr>
            </w:pPr>
          </w:p>
          <w:p w14:paraId="17D8E926" w14:textId="77777777" w:rsidR="00090583" w:rsidRPr="00AB547C" w:rsidRDefault="00090583" w:rsidP="00090583">
            <w:pPr>
              <w:pStyle w:val="NoSpacing"/>
              <w:jc w:val="cente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FF0000"/>
          </w:tcPr>
          <w:p w14:paraId="77751CC9" w14:textId="77777777" w:rsidR="00090583" w:rsidRPr="00F054E3" w:rsidRDefault="006219DA" w:rsidP="00090583">
            <w:pPr>
              <w:pStyle w:val="NoSpacing"/>
              <w:jc w:val="center"/>
              <w:rPr>
                <w:color w:val="FFFFFF" w:themeColor="background1"/>
              </w:rPr>
            </w:pPr>
            <w:r w:rsidRPr="00F054E3">
              <w:rPr>
                <w:rFonts w:ascii="Arial" w:eastAsia="Arial" w:hAnsi="Arial" w:cs="Arial"/>
                <w:color w:val="FFFFFF" w:themeColor="background1"/>
              </w:rPr>
              <w:t xml:space="preserve">205 </w:t>
            </w:r>
          </w:p>
          <w:p w14:paraId="62DE3DE2" w14:textId="77777777" w:rsidR="00090583" w:rsidRPr="00F054E3" w:rsidRDefault="006219DA" w:rsidP="00090583">
            <w:pPr>
              <w:pStyle w:val="NoSpacing"/>
              <w:jc w:val="center"/>
              <w:rPr>
                <w:color w:val="FFFFFF" w:themeColor="background1"/>
              </w:rPr>
            </w:pPr>
            <w:r w:rsidRPr="00F054E3">
              <w:rPr>
                <w:rFonts w:ascii="Arial" w:eastAsia="Arial" w:hAnsi="Arial" w:cs="Arial"/>
                <w:color w:val="FFFFFF" w:themeColor="background1"/>
              </w:rPr>
              <w:t>(2020/21)</w:t>
            </w:r>
          </w:p>
        </w:tc>
        <w:tc>
          <w:tcPr>
            <w:tcW w:w="1485" w:type="dxa"/>
            <w:tcBorders>
              <w:top w:val="single" w:sz="4" w:space="0" w:color="auto"/>
              <w:left w:val="single" w:sz="4" w:space="0" w:color="auto"/>
              <w:bottom w:val="single" w:sz="4" w:space="0" w:color="auto"/>
              <w:right w:val="single" w:sz="4" w:space="0" w:color="auto"/>
            </w:tcBorders>
            <w:shd w:val="clear" w:color="auto" w:fill="FF0000"/>
          </w:tcPr>
          <w:p w14:paraId="02F8F27A" w14:textId="77777777" w:rsidR="00090583" w:rsidRPr="00F054E3" w:rsidRDefault="006219DA" w:rsidP="00090583">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48</w:t>
            </w:r>
          </w:p>
        </w:tc>
        <w:tc>
          <w:tcPr>
            <w:tcW w:w="203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37AF0F6" w14:textId="77777777" w:rsidR="00090583" w:rsidRPr="00D15808" w:rsidRDefault="006219DA" w:rsidP="00090583">
            <w:pPr>
              <w:pStyle w:val="NoSpacing"/>
              <w:jc w:val="center"/>
              <w:rPr>
                <w:rFonts w:ascii="Arial" w:eastAsia="Arial" w:hAnsi="Arial" w:cs="Arial"/>
              </w:rPr>
            </w:pPr>
            <w:r w:rsidRPr="00D15808">
              <w:rPr>
                <w:rFonts w:ascii="Arial" w:eastAsia="Arial" w:hAnsi="Arial" w:cs="Arial"/>
              </w:rPr>
              <w:t>103</w:t>
            </w:r>
          </w:p>
          <w:p w14:paraId="3E7AE184" w14:textId="77777777" w:rsidR="00090583" w:rsidRPr="00D15808" w:rsidRDefault="00090583" w:rsidP="00090583">
            <w:pPr>
              <w:pStyle w:val="NoSpacing"/>
              <w:jc w:val="center"/>
            </w:pPr>
          </w:p>
          <w:p w14:paraId="0B2A4EC3" w14:textId="77777777" w:rsidR="00090583" w:rsidRPr="00D15808" w:rsidRDefault="006219DA" w:rsidP="00090583">
            <w:pPr>
              <w:pStyle w:val="NoSpacing"/>
              <w:jc w:val="center"/>
              <w:rPr>
                <w:color w:val="000000" w:themeColor="text1"/>
              </w:rPr>
            </w:pPr>
            <w:r w:rsidRPr="00D15808">
              <w:rPr>
                <w:rFonts w:ascii="Arial" w:eastAsia="Arial" w:hAnsi="Arial" w:cs="Arial"/>
              </w:rPr>
              <w:t>151</w:t>
            </w:r>
          </w:p>
          <w:p w14:paraId="711C3F17" w14:textId="77777777" w:rsidR="00090583" w:rsidRPr="00D15808" w:rsidRDefault="006219DA" w:rsidP="00090583">
            <w:pPr>
              <w:pStyle w:val="NoSpacing"/>
              <w:jc w:val="center"/>
              <w:rPr>
                <w:color w:val="000000" w:themeColor="text1"/>
              </w:rPr>
            </w:pPr>
            <w:r w:rsidRPr="00D15808">
              <w:rPr>
                <w:rFonts w:ascii="Arial" w:eastAsia="Arial" w:hAnsi="Arial" w:cs="Arial"/>
                <w:color w:val="000000" w:themeColor="text1"/>
              </w:rPr>
              <w:t>(cumulative total)</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63AD54A8" w14:textId="77777777" w:rsidR="00090583" w:rsidRPr="00AB547C" w:rsidRDefault="006219DA" w:rsidP="00090583">
            <w:pPr>
              <w:pStyle w:val="NoSpacing"/>
              <w:jc w:val="center"/>
              <w:rPr>
                <w:rFonts w:ascii="Arial" w:eastAsia="Arial" w:hAnsi="Arial" w:cs="Arial"/>
              </w:rPr>
            </w:pPr>
            <w:r w:rsidRPr="4E6013FB">
              <w:rPr>
                <w:rFonts w:ascii="Arial" w:eastAsia="Arial" w:hAnsi="Arial" w:cs="Arial"/>
              </w:rPr>
              <w:t>1,000</w:t>
            </w:r>
          </w:p>
          <w:p w14:paraId="0B95A240" w14:textId="77777777" w:rsidR="00090583" w:rsidRPr="00BD2408" w:rsidRDefault="006219DA" w:rsidP="00090583">
            <w:pPr>
              <w:pStyle w:val="NoSpacing"/>
              <w:jc w:val="center"/>
              <w:rPr>
                <w:rFonts w:ascii="Arial" w:eastAsia="Arial" w:hAnsi="Arial" w:cs="Arial"/>
                <w:color w:val="000000" w:themeColor="text1"/>
              </w:rPr>
            </w:pPr>
            <w:r w:rsidRPr="00BD2408">
              <w:rPr>
                <w:rFonts w:ascii="Arial" w:eastAsia="Arial" w:hAnsi="Arial" w:cs="Arial"/>
                <w:color w:val="000000" w:themeColor="text1"/>
              </w:rPr>
              <w:t>(Target reviewed: See Notes)</w:t>
            </w:r>
          </w:p>
          <w:p w14:paraId="067E3656" w14:textId="6162AF02" w:rsidR="00090583" w:rsidRPr="00BD2408" w:rsidRDefault="006219DA" w:rsidP="00090583">
            <w:pPr>
              <w:pStyle w:val="NoSpacing"/>
              <w:jc w:val="center"/>
              <w:rPr>
                <w:rFonts w:ascii="Arial" w:hAnsi="Arial" w:cs="Arial"/>
              </w:rPr>
            </w:pPr>
            <w:r>
              <w:rPr>
                <w:rFonts w:ascii="Arial" w:hAnsi="Arial" w:cs="Arial"/>
              </w:rPr>
              <w:t>Target p</w:t>
            </w:r>
            <w:r w:rsidRPr="00BD2408">
              <w:rPr>
                <w:rFonts w:ascii="Arial" w:hAnsi="Arial" w:cs="Arial"/>
              </w:rPr>
              <w:t xml:space="preserve">reviously </w:t>
            </w:r>
          </w:p>
          <w:p w14:paraId="32F746DA" w14:textId="21E0D49E" w:rsidR="00090583" w:rsidRPr="00A03613" w:rsidRDefault="006219DA" w:rsidP="00090583">
            <w:pPr>
              <w:pStyle w:val="NoSpacing"/>
              <w:jc w:val="center"/>
              <w:rPr>
                <w:rFonts w:ascii="Arial" w:hAnsi="Arial" w:cs="Arial"/>
              </w:rPr>
            </w:pPr>
            <w:r w:rsidRPr="00BD2408">
              <w:rPr>
                <w:rFonts w:ascii="Arial" w:hAnsi="Arial" w:cs="Arial"/>
              </w:rPr>
              <w:t>8,400</w:t>
            </w:r>
          </w:p>
        </w:tc>
      </w:tr>
      <w:bookmarkEnd w:id="3"/>
      <w:tr w:rsidR="00176ACB" w14:paraId="1388ECB5" w14:textId="77777777" w:rsidTr="00292773">
        <w:trPr>
          <w:trHeight w:val="1140"/>
        </w:trPr>
        <w:tc>
          <w:tcPr>
            <w:tcW w:w="2370" w:type="dxa"/>
            <w:tcBorders>
              <w:top w:val="single" w:sz="4" w:space="0" w:color="auto"/>
              <w:left w:val="single" w:sz="4" w:space="0" w:color="auto"/>
              <w:bottom w:val="single" w:sz="4" w:space="0" w:color="auto"/>
              <w:right w:val="single" w:sz="4" w:space="0" w:color="auto"/>
            </w:tcBorders>
          </w:tcPr>
          <w:p w14:paraId="186B65F9" w14:textId="77777777" w:rsidR="00090583" w:rsidRPr="00AB547C" w:rsidRDefault="006219DA" w:rsidP="00090583">
            <w:pPr>
              <w:pStyle w:val="NoSpacing"/>
              <w:rPr>
                <w:rFonts w:ascii="Arial" w:hAnsi="Arial" w:cs="Arial"/>
              </w:rPr>
            </w:pPr>
            <w:r w:rsidRPr="00AB547C">
              <w:rPr>
                <w:rFonts w:ascii="Arial" w:hAnsi="Arial" w:cs="Arial"/>
              </w:rPr>
              <w:lastRenderedPageBreak/>
              <w:t>Number of e-downloads</w:t>
            </w:r>
            <w:r>
              <w:rPr>
                <w:rFonts w:ascii="Arial" w:hAnsi="Arial" w:cs="Arial"/>
              </w:rPr>
              <w:t xml:space="preserve"> </w:t>
            </w:r>
            <w:r w:rsidRPr="00AB547C">
              <w:rPr>
                <w:rFonts w:ascii="Arial" w:hAnsi="Arial" w:cs="Arial"/>
              </w:rPr>
              <w:t>(annual cumulative indicator)</w:t>
            </w:r>
            <w:r w:rsidRPr="00AB547C">
              <w:rPr>
                <w:rFonts w:ascii="Arial" w:hAnsi="Arial" w:cs="Arial"/>
              </w:rPr>
              <w:br/>
            </w:r>
          </w:p>
        </w:tc>
        <w:tc>
          <w:tcPr>
            <w:tcW w:w="1350" w:type="dxa"/>
            <w:tcBorders>
              <w:top w:val="single" w:sz="4" w:space="0" w:color="auto"/>
              <w:left w:val="single" w:sz="4" w:space="0" w:color="auto"/>
              <w:bottom w:val="single" w:sz="4" w:space="0" w:color="auto"/>
              <w:right w:val="single" w:sz="4" w:space="0" w:color="auto"/>
            </w:tcBorders>
          </w:tcPr>
          <w:p w14:paraId="6B33BC20" w14:textId="77777777" w:rsidR="00090583" w:rsidRPr="00AB547C" w:rsidRDefault="006219DA" w:rsidP="00090583">
            <w:pPr>
              <w:pStyle w:val="NoSpacing"/>
              <w:rPr>
                <w:rFonts w:ascii="Arial" w:hAnsi="Arial" w:cs="Arial"/>
              </w:rPr>
            </w:pPr>
            <w:r w:rsidRPr="00AB547C">
              <w:rPr>
                <w:rFonts w:ascii="Arial" w:hAnsi="Arial" w:cs="Arial"/>
              </w:rPr>
              <w:t>Quarterly</w:t>
            </w:r>
          </w:p>
        </w:tc>
        <w:tc>
          <w:tcPr>
            <w:tcW w:w="1410" w:type="dxa"/>
            <w:tcBorders>
              <w:top w:val="single" w:sz="4" w:space="0" w:color="auto"/>
              <w:left w:val="single" w:sz="4" w:space="0" w:color="auto"/>
              <w:bottom w:val="single" w:sz="4" w:space="0" w:color="auto"/>
              <w:right w:val="single" w:sz="4" w:space="0" w:color="auto"/>
            </w:tcBorders>
          </w:tcPr>
          <w:p w14:paraId="3AC4FA15" w14:textId="77777777" w:rsidR="00090583" w:rsidRPr="00AB547C" w:rsidRDefault="006219DA" w:rsidP="00090583">
            <w:pPr>
              <w:pStyle w:val="NoSpacing"/>
              <w:rPr>
                <w:rFonts w:ascii="Arial" w:hAnsi="Arial" w:cs="Arial"/>
              </w:rPr>
            </w:pPr>
            <w:r w:rsidRPr="00AB547C">
              <w:rPr>
                <w:rFonts w:ascii="Arial" w:hAnsi="Arial" w:cs="Arial"/>
              </w:rPr>
              <w:t xml:space="preserve">Education and Children's Services </w:t>
            </w:r>
          </w:p>
        </w:tc>
        <w:tc>
          <w:tcPr>
            <w:tcW w:w="1290" w:type="dxa"/>
            <w:tcBorders>
              <w:top w:val="single" w:sz="4" w:space="0" w:color="auto"/>
              <w:left w:val="single" w:sz="4" w:space="0" w:color="auto"/>
              <w:bottom w:val="single" w:sz="4" w:space="0" w:color="auto"/>
              <w:right w:val="single" w:sz="4" w:space="0" w:color="auto"/>
            </w:tcBorders>
          </w:tcPr>
          <w:p w14:paraId="31BAC52E" w14:textId="77777777" w:rsidR="00090583" w:rsidRPr="00AB547C" w:rsidRDefault="006219DA" w:rsidP="00090583">
            <w:pPr>
              <w:pStyle w:val="NoSpacing"/>
              <w:rPr>
                <w:rFonts w:ascii="Arial" w:hAnsi="Arial" w:cs="Arial"/>
              </w:rPr>
            </w:pPr>
            <w:r w:rsidRPr="00AB547C">
              <w:rPr>
                <w:rFonts w:ascii="Arial" w:hAnsi="Arial" w:cs="Arial"/>
              </w:rPr>
              <w:t>High</w:t>
            </w:r>
          </w:p>
        </w:tc>
        <w:tc>
          <w:tcPr>
            <w:tcW w:w="12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2B4F79" w14:textId="77777777" w:rsidR="00090583" w:rsidRPr="00AB547C" w:rsidRDefault="006219DA" w:rsidP="00090583">
            <w:pPr>
              <w:pStyle w:val="NoSpacing"/>
              <w:jc w:val="center"/>
              <w:rPr>
                <w:rFonts w:ascii="Arial" w:hAnsi="Arial" w:cs="Arial"/>
              </w:rPr>
            </w:pPr>
            <w:r w:rsidRPr="00AB547C">
              <w:rPr>
                <w:rFonts w:ascii="Arial" w:hAnsi="Arial" w:cs="Arial"/>
              </w:rPr>
              <w:t>353,007 (2019/20)</w:t>
            </w:r>
          </w:p>
        </w:tc>
        <w:tc>
          <w:tcPr>
            <w:tcW w:w="13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94C606" w14:textId="77777777" w:rsidR="00090583" w:rsidRDefault="006219DA" w:rsidP="00090583">
            <w:pPr>
              <w:jc w:val="center"/>
              <w:rPr>
                <w:rFonts w:eastAsia="Arial" w:cs="Arial"/>
                <w:color w:val="000000" w:themeColor="text1"/>
                <w:sz w:val="22"/>
                <w:szCs w:val="22"/>
              </w:rPr>
            </w:pPr>
            <w:r w:rsidRPr="62385CB5">
              <w:rPr>
                <w:rFonts w:eastAsia="Arial" w:cs="Arial"/>
                <w:color w:val="000000" w:themeColor="text1"/>
                <w:sz w:val="22"/>
                <w:szCs w:val="22"/>
              </w:rPr>
              <w:t>930,301 (2020/21)</w:t>
            </w:r>
          </w:p>
        </w:tc>
        <w:tc>
          <w:tcPr>
            <w:tcW w:w="14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B7DB1B0" w14:textId="77777777" w:rsidR="00090583" w:rsidRDefault="006219DA" w:rsidP="00090583">
            <w:pPr>
              <w:pStyle w:val="NoSpacing"/>
              <w:jc w:val="center"/>
              <w:rPr>
                <w:rFonts w:ascii="Arial" w:eastAsia="Arial" w:hAnsi="Arial" w:cs="Arial"/>
              </w:rPr>
            </w:pPr>
            <w:r w:rsidRPr="62385CB5">
              <w:rPr>
                <w:rFonts w:ascii="Arial" w:eastAsia="Arial" w:hAnsi="Arial" w:cs="Arial"/>
              </w:rPr>
              <w:t>242,993</w:t>
            </w:r>
          </w:p>
        </w:tc>
        <w:tc>
          <w:tcPr>
            <w:tcW w:w="20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16A127" w14:textId="77777777" w:rsidR="00090583" w:rsidRPr="00D15808" w:rsidRDefault="006219DA" w:rsidP="00090583">
            <w:pPr>
              <w:pStyle w:val="NoSpacing"/>
              <w:jc w:val="center"/>
              <w:rPr>
                <w:rFonts w:ascii="Arial" w:eastAsia="Arial" w:hAnsi="Arial" w:cs="Arial"/>
              </w:rPr>
            </w:pPr>
            <w:r w:rsidRPr="00D15808">
              <w:rPr>
                <w:rFonts w:ascii="Arial" w:eastAsia="Arial" w:hAnsi="Arial" w:cs="Arial"/>
              </w:rPr>
              <w:t>228,301</w:t>
            </w:r>
          </w:p>
          <w:p w14:paraId="0F312485" w14:textId="77777777" w:rsidR="00090583" w:rsidRPr="00D15808" w:rsidRDefault="00090583" w:rsidP="00090583">
            <w:pPr>
              <w:pStyle w:val="NoSpacing"/>
              <w:jc w:val="center"/>
            </w:pPr>
          </w:p>
          <w:p w14:paraId="6B52C380" w14:textId="77777777" w:rsidR="00090583" w:rsidRPr="00D15808" w:rsidRDefault="006219DA" w:rsidP="00090583">
            <w:pPr>
              <w:pStyle w:val="NoSpacing"/>
              <w:jc w:val="center"/>
            </w:pPr>
            <w:r w:rsidRPr="00D15808">
              <w:rPr>
                <w:rFonts w:ascii="Arial" w:eastAsia="Arial" w:hAnsi="Arial" w:cs="Arial"/>
              </w:rPr>
              <w:t>471,294</w:t>
            </w:r>
          </w:p>
          <w:p w14:paraId="612306C0" w14:textId="77777777" w:rsidR="00090583" w:rsidRPr="00D15808" w:rsidRDefault="006219DA" w:rsidP="00090583">
            <w:pPr>
              <w:pStyle w:val="NoSpacing"/>
              <w:jc w:val="center"/>
              <w:rPr>
                <w:color w:val="000000" w:themeColor="text1"/>
              </w:rPr>
            </w:pPr>
            <w:r w:rsidRPr="00D15808">
              <w:rPr>
                <w:rFonts w:ascii="Arial" w:eastAsia="Arial" w:hAnsi="Arial" w:cs="Arial"/>
                <w:color w:val="000000" w:themeColor="text1"/>
              </w:rPr>
              <w:t>(cumulative total)</w:t>
            </w:r>
          </w:p>
          <w:p w14:paraId="17C6DA54" w14:textId="77777777" w:rsidR="00090583" w:rsidRPr="00D15808" w:rsidRDefault="00090583" w:rsidP="00090583">
            <w:pPr>
              <w:pStyle w:val="NoSpacing"/>
              <w:jc w:val="center"/>
            </w:pP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42B2958B" w14:textId="77777777" w:rsidR="00090583" w:rsidRDefault="006219DA" w:rsidP="00090583">
            <w:pPr>
              <w:pStyle w:val="NoSpacing"/>
              <w:jc w:val="center"/>
            </w:pPr>
            <w:r w:rsidRPr="4E6013FB">
              <w:rPr>
                <w:rFonts w:ascii="Arial" w:eastAsia="Arial" w:hAnsi="Arial" w:cs="Arial"/>
              </w:rPr>
              <w:t>800,000</w:t>
            </w:r>
          </w:p>
          <w:p w14:paraId="581FC4D8" w14:textId="486643D7" w:rsidR="00090583" w:rsidRPr="00BD2408" w:rsidRDefault="006219DA" w:rsidP="00090583">
            <w:pPr>
              <w:pStyle w:val="NoSpacing"/>
              <w:jc w:val="center"/>
              <w:rPr>
                <w:rFonts w:ascii="Arial" w:hAnsi="Arial" w:cs="Arial"/>
              </w:rPr>
            </w:pPr>
            <w:r w:rsidRPr="00BD2408">
              <w:rPr>
                <w:rFonts w:ascii="Arial" w:eastAsia="Arial" w:hAnsi="Arial" w:cs="Arial"/>
                <w:color w:val="000000" w:themeColor="text1"/>
              </w:rPr>
              <w:t>(Target reviewed: See Notes)</w:t>
            </w:r>
            <w:r w:rsidRPr="00BD2408">
              <w:br/>
            </w:r>
            <w:r w:rsidR="009722F4">
              <w:rPr>
                <w:rFonts w:ascii="Arial" w:hAnsi="Arial" w:cs="Arial"/>
              </w:rPr>
              <w:t>Target p</w:t>
            </w:r>
            <w:r w:rsidRPr="00BD2408">
              <w:rPr>
                <w:rFonts w:ascii="Arial" w:hAnsi="Arial" w:cs="Arial"/>
              </w:rPr>
              <w:t>reviously</w:t>
            </w:r>
          </w:p>
          <w:p w14:paraId="55CF7A05" w14:textId="16457A1B" w:rsidR="00090583" w:rsidRPr="00AB547C" w:rsidRDefault="006219DA" w:rsidP="00090583">
            <w:pPr>
              <w:pStyle w:val="NoSpacing"/>
              <w:jc w:val="center"/>
              <w:rPr>
                <w:rFonts w:ascii="Arial" w:eastAsia="Arial" w:hAnsi="Arial" w:cs="Arial"/>
              </w:rPr>
            </w:pPr>
            <w:r w:rsidRPr="00BD2408">
              <w:rPr>
                <w:rFonts w:ascii="Arial" w:hAnsi="Arial" w:cs="Arial"/>
              </w:rPr>
              <w:t>293,908</w:t>
            </w:r>
          </w:p>
        </w:tc>
      </w:tr>
      <w:tr w:rsidR="00176ACB" w14:paraId="5FA72A3B" w14:textId="77777777" w:rsidTr="00292773">
        <w:trPr>
          <w:trHeight w:val="1437"/>
        </w:trPr>
        <w:tc>
          <w:tcPr>
            <w:tcW w:w="2370" w:type="dxa"/>
            <w:tcBorders>
              <w:top w:val="single" w:sz="4" w:space="0" w:color="auto"/>
              <w:left w:val="single" w:sz="4" w:space="0" w:color="auto"/>
              <w:bottom w:val="single" w:sz="4" w:space="0" w:color="auto"/>
              <w:right w:val="single" w:sz="4" w:space="0" w:color="auto"/>
            </w:tcBorders>
          </w:tcPr>
          <w:p w14:paraId="06ED9BE5" w14:textId="2DB5DCD7" w:rsidR="00090583" w:rsidRPr="00AB547C" w:rsidRDefault="006219DA" w:rsidP="00090583">
            <w:pPr>
              <w:pStyle w:val="NoSpacing"/>
              <w:rPr>
                <w:rFonts w:ascii="Arial" w:hAnsi="Arial" w:cs="Arial"/>
              </w:rPr>
            </w:pPr>
            <w:r w:rsidRPr="62385CB5">
              <w:rPr>
                <w:rFonts w:ascii="Arial" w:hAnsi="Arial" w:cs="Arial"/>
              </w:rPr>
              <w:t xml:space="preserve">Number of volunteers in </w:t>
            </w:r>
            <w:r w:rsidR="009C487D">
              <w:rPr>
                <w:rFonts w:ascii="Arial" w:hAnsi="Arial" w:cs="Arial"/>
              </w:rPr>
              <w:t>l</w:t>
            </w:r>
            <w:r w:rsidRPr="62385CB5">
              <w:rPr>
                <w:rFonts w:ascii="Arial" w:hAnsi="Arial" w:cs="Arial"/>
              </w:rPr>
              <w:t xml:space="preserve">ibraries </w:t>
            </w:r>
          </w:p>
        </w:tc>
        <w:tc>
          <w:tcPr>
            <w:tcW w:w="1350" w:type="dxa"/>
            <w:tcBorders>
              <w:top w:val="single" w:sz="4" w:space="0" w:color="auto"/>
              <w:left w:val="single" w:sz="4" w:space="0" w:color="auto"/>
              <w:bottom w:val="single" w:sz="4" w:space="0" w:color="auto"/>
              <w:right w:val="single" w:sz="4" w:space="0" w:color="auto"/>
            </w:tcBorders>
          </w:tcPr>
          <w:p w14:paraId="6482663F" w14:textId="77777777" w:rsidR="00090583" w:rsidRPr="00AB547C" w:rsidRDefault="006219DA" w:rsidP="00090583">
            <w:pPr>
              <w:pStyle w:val="NoSpacing"/>
              <w:rPr>
                <w:rFonts w:ascii="Arial" w:hAnsi="Arial" w:cs="Arial"/>
              </w:rPr>
            </w:pPr>
            <w:r w:rsidRPr="00AB547C">
              <w:rPr>
                <w:rFonts w:ascii="Arial" w:hAnsi="Arial" w:cs="Arial"/>
              </w:rPr>
              <w:t>Quarterly</w:t>
            </w:r>
          </w:p>
        </w:tc>
        <w:tc>
          <w:tcPr>
            <w:tcW w:w="1410" w:type="dxa"/>
            <w:tcBorders>
              <w:top w:val="single" w:sz="4" w:space="0" w:color="auto"/>
              <w:left w:val="single" w:sz="4" w:space="0" w:color="auto"/>
              <w:bottom w:val="single" w:sz="4" w:space="0" w:color="auto"/>
              <w:right w:val="single" w:sz="4" w:space="0" w:color="auto"/>
            </w:tcBorders>
          </w:tcPr>
          <w:p w14:paraId="799978B8" w14:textId="77777777" w:rsidR="00090583" w:rsidRPr="00AB547C" w:rsidRDefault="006219DA" w:rsidP="00090583">
            <w:pPr>
              <w:pStyle w:val="NoSpacing"/>
              <w:rPr>
                <w:rFonts w:ascii="Arial" w:hAnsi="Arial" w:cs="Arial"/>
              </w:rPr>
            </w:pPr>
            <w:r w:rsidRPr="00AB547C">
              <w:rPr>
                <w:rFonts w:ascii="Arial" w:hAnsi="Arial" w:cs="Arial"/>
              </w:rPr>
              <w:t xml:space="preserve">Education and </w:t>
            </w:r>
            <w:r>
              <w:rPr>
                <w:rFonts w:ascii="Arial" w:hAnsi="Arial" w:cs="Arial"/>
              </w:rPr>
              <w:t>C</w:t>
            </w:r>
            <w:r w:rsidRPr="00AB547C">
              <w:rPr>
                <w:rFonts w:ascii="Arial" w:hAnsi="Arial" w:cs="Arial"/>
              </w:rPr>
              <w:t>hildren's Services</w:t>
            </w:r>
          </w:p>
        </w:tc>
        <w:tc>
          <w:tcPr>
            <w:tcW w:w="1290" w:type="dxa"/>
            <w:tcBorders>
              <w:top w:val="single" w:sz="4" w:space="0" w:color="auto"/>
              <w:left w:val="single" w:sz="4" w:space="0" w:color="auto"/>
              <w:bottom w:val="single" w:sz="4" w:space="0" w:color="auto"/>
              <w:right w:val="single" w:sz="4" w:space="0" w:color="auto"/>
            </w:tcBorders>
          </w:tcPr>
          <w:p w14:paraId="0FB91206" w14:textId="77777777" w:rsidR="00090583" w:rsidRPr="00AB547C" w:rsidRDefault="006219DA" w:rsidP="00090583">
            <w:pPr>
              <w:pStyle w:val="NoSpacing"/>
              <w:rPr>
                <w:rFonts w:ascii="Arial" w:hAnsi="Arial" w:cs="Arial"/>
              </w:rPr>
            </w:pPr>
            <w:r w:rsidRPr="00AB547C">
              <w:rPr>
                <w:rFonts w:ascii="Arial" w:hAnsi="Arial" w:cs="Arial"/>
              </w:rPr>
              <w:t>High</w:t>
            </w:r>
          </w:p>
        </w:tc>
        <w:tc>
          <w:tcPr>
            <w:tcW w:w="12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F5284D" w14:textId="77777777" w:rsidR="00090583" w:rsidRPr="00AB547C" w:rsidRDefault="006219DA" w:rsidP="00090583">
            <w:pPr>
              <w:pStyle w:val="NoSpacing"/>
              <w:jc w:val="center"/>
              <w:rPr>
                <w:rFonts w:ascii="Arial" w:hAnsi="Arial" w:cs="Arial"/>
              </w:rPr>
            </w:pPr>
            <w:r w:rsidRPr="00AB547C">
              <w:rPr>
                <w:rFonts w:ascii="Arial" w:hAnsi="Arial" w:cs="Arial"/>
              </w:rPr>
              <w:t>677 (2019/20)</w:t>
            </w:r>
          </w:p>
          <w:p w14:paraId="5D17EDAF" w14:textId="77777777" w:rsidR="00090583" w:rsidRPr="00AB547C" w:rsidRDefault="00090583" w:rsidP="00090583">
            <w:pPr>
              <w:pStyle w:val="NoSpacing"/>
              <w:jc w:val="center"/>
              <w:rPr>
                <w:rFonts w:ascii="Arial" w:hAnsi="Arial" w:cs="Arial"/>
              </w:rPr>
            </w:pPr>
          </w:p>
          <w:p w14:paraId="7A0638FF" w14:textId="77777777" w:rsidR="00090583" w:rsidRPr="00AB547C" w:rsidRDefault="00090583" w:rsidP="00090583">
            <w:pPr>
              <w:pStyle w:val="NoSpacing"/>
              <w:jc w:val="cente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FF0000"/>
          </w:tcPr>
          <w:p w14:paraId="5BC59A74" w14:textId="77777777" w:rsidR="00090583" w:rsidRPr="00F054E3" w:rsidRDefault="006219DA" w:rsidP="00090583">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167</w:t>
            </w:r>
          </w:p>
          <w:p w14:paraId="46C32BE2" w14:textId="77777777" w:rsidR="00090583" w:rsidRPr="00F054E3" w:rsidRDefault="006219DA" w:rsidP="00090583">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(2020/21)</w:t>
            </w:r>
          </w:p>
        </w:tc>
        <w:tc>
          <w:tcPr>
            <w:tcW w:w="1485" w:type="dxa"/>
            <w:tcBorders>
              <w:top w:val="single" w:sz="4" w:space="0" w:color="auto"/>
              <w:left w:val="single" w:sz="4" w:space="0" w:color="auto"/>
              <w:bottom w:val="single" w:sz="4" w:space="0" w:color="auto"/>
              <w:right w:val="single" w:sz="4" w:space="0" w:color="auto"/>
            </w:tcBorders>
            <w:shd w:val="clear" w:color="auto" w:fill="FF0000"/>
          </w:tcPr>
          <w:p w14:paraId="48774B7A" w14:textId="77777777" w:rsidR="00090583" w:rsidRPr="00F054E3" w:rsidRDefault="006219DA" w:rsidP="00090583">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143</w:t>
            </w:r>
          </w:p>
        </w:tc>
        <w:tc>
          <w:tcPr>
            <w:tcW w:w="203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3976103" w14:textId="77777777" w:rsidR="00090583" w:rsidRPr="00F70079" w:rsidRDefault="006219DA" w:rsidP="00090583">
            <w:pPr>
              <w:pStyle w:val="NoSpacing"/>
              <w:jc w:val="center"/>
              <w:rPr>
                <w:rFonts w:ascii="Arial" w:eastAsia="Arial" w:hAnsi="Arial" w:cs="Arial"/>
                <w:highlight w:val="yellow"/>
              </w:rPr>
            </w:pPr>
            <w:r w:rsidRPr="00D15808">
              <w:rPr>
                <w:rFonts w:ascii="Arial" w:eastAsia="Arial" w:hAnsi="Arial" w:cs="Arial"/>
              </w:rPr>
              <w:t>78</w:t>
            </w:r>
          </w:p>
        </w:tc>
        <w:tc>
          <w:tcPr>
            <w:tcW w:w="1457" w:type="dxa"/>
            <w:tcBorders>
              <w:top w:val="single" w:sz="4" w:space="0" w:color="auto"/>
              <w:left w:val="single" w:sz="4" w:space="0" w:color="auto"/>
              <w:bottom w:val="single" w:sz="4" w:space="0" w:color="auto"/>
              <w:right w:val="single" w:sz="4" w:space="0" w:color="auto"/>
            </w:tcBorders>
            <w:shd w:val="clear" w:color="auto" w:fill="auto"/>
          </w:tcPr>
          <w:p w14:paraId="017173D4" w14:textId="77777777" w:rsidR="00090583" w:rsidRDefault="006219DA" w:rsidP="00090583">
            <w:pPr>
              <w:pStyle w:val="NoSpacing"/>
              <w:jc w:val="center"/>
            </w:pPr>
            <w:r w:rsidRPr="4E6013FB">
              <w:rPr>
                <w:rFonts w:ascii="Arial" w:eastAsia="Arial" w:hAnsi="Arial" w:cs="Arial"/>
              </w:rPr>
              <w:t>250</w:t>
            </w:r>
          </w:p>
          <w:p w14:paraId="78754748" w14:textId="77777777" w:rsidR="00090583" w:rsidRPr="00BD2408" w:rsidRDefault="006219DA" w:rsidP="00090583">
            <w:pPr>
              <w:pStyle w:val="NoSpacing"/>
              <w:jc w:val="center"/>
              <w:rPr>
                <w:rFonts w:ascii="Arial" w:eastAsia="Arial" w:hAnsi="Arial" w:cs="Arial"/>
                <w:color w:val="000000" w:themeColor="text1"/>
              </w:rPr>
            </w:pPr>
            <w:r w:rsidRPr="00BD2408">
              <w:rPr>
                <w:rFonts w:ascii="Arial" w:eastAsia="Arial" w:hAnsi="Arial" w:cs="Arial"/>
                <w:color w:val="000000" w:themeColor="text1"/>
              </w:rPr>
              <w:t>(Target reviewed: See Notes)</w:t>
            </w:r>
          </w:p>
          <w:p w14:paraId="463C88FF" w14:textId="4E8660A2" w:rsidR="00090583" w:rsidRPr="00BD2408" w:rsidRDefault="006219DA" w:rsidP="00090583">
            <w:pPr>
              <w:pStyle w:val="NoSpacing"/>
              <w:jc w:val="center"/>
              <w:rPr>
                <w:rFonts w:ascii="Arial" w:eastAsia="Arial" w:hAnsi="Arial" w:cs="Arial"/>
                <w:color w:val="000000" w:themeColor="text1"/>
              </w:rPr>
            </w:pPr>
            <w:r>
              <w:rPr>
                <w:rFonts w:ascii="Arial" w:eastAsia="Arial" w:hAnsi="Arial" w:cs="Arial"/>
                <w:color w:val="000000" w:themeColor="text1"/>
              </w:rPr>
              <w:t>Target p</w:t>
            </w:r>
            <w:r w:rsidRPr="00BD2408">
              <w:rPr>
                <w:rFonts w:ascii="Arial" w:eastAsia="Arial" w:hAnsi="Arial" w:cs="Arial"/>
                <w:color w:val="000000" w:themeColor="text1"/>
              </w:rPr>
              <w:t>reviously</w:t>
            </w:r>
          </w:p>
          <w:p w14:paraId="1B607CF9" w14:textId="14360EDB" w:rsidR="00090583" w:rsidRPr="00AB547C" w:rsidRDefault="006219DA" w:rsidP="00090583">
            <w:pPr>
              <w:pStyle w:val="NoSpacing"/>
              <w:jc w:val="center"/>
            </w:pPr>
            <w:r w:rsidRPr="00BD2408">
              <w:rPr>
                <w:rFonts w:ascii="Arial" w:eastAsia="Arial" w:hAnsi="Arial" w:cs="Arial"/>
                <w:color w:val="000000" w:themeColor="text1"/>
              </w:rPr>
              <w:t>600</w:t>
            </w:r>
          </w:p>
        </w:tc>
      </w:tr>
    </w:tbl>
    <w:p w14:paraId="441BE3B4" w14:textId="77777777" w:rsidR="00170D99" w:rsidRDefault="00170D99" w:rsidP="00170D99">
      <w:pPr>
        <w:rPr>
          <w:b/>
          <w:bCs/>
          <w:sz w:val="22"/>
          <w:szCs w:val="22"/>
          <w:lang w:eastAsia="en-GB"/>
        </w:rPr>
      </w:pPr>
    </w:p>
    <w:p w14:paraId="2D9D0690" w14:textId="56D878D8" w:rsidR="00170D99" w:rsidRPr="003410DD" w:rsidRDefault="006219DA" w:rsidP="00170D99">
      <w:r w:rsidRPr="003410DD">
        <w:rPr>
          <w:b/>
          <w:bCs/>
          <w:lang w:eastAsia="en-GB"/>
        </w:rPr>
        <w:t>Use of Libraries</w:t>
      </w:r>
      <w:r w:rsidRPr="003410DD">
        <w:rPr>
          <w:lang w:eastAsia="en-GB"/>
        </w:rPr>
        <w:t>. Q2 2021/22 shows steady recovery of visitor numbers, though there are still some Covid safety precautions in place within the buildings leading to some opening hours being lost and restrictions on capacity. New target has been set taking these limitations into account.</w:t>
      </w:r>
    </w:p>
    <w:p w14:paraId="7C117B1B" w14:textId="263E8FA2" w:rsidR="00170D99" w:rsidRPr="003410DD" w:rsidRDefault="006219DA" w:rsidP="00170D99">
      <w:pPr>
        <w:jc w:val="left"/>
        <w:rPr>
          <w:lang w:eastAsia="en-GB"/>
        </w:rPr>
      </w:pPr>
      <w:r w:rsidRPr="003410DD">
        <w:rPr>
          <w:b/>
          <w:bCs/>
          <w:lang w:eastAsia="en-GB"/>
        </w:rPr>
        <w:t xml:space="preserve">People's network (PNET) sessions. </w:t>
      </w:r>
      <w:r w:rsidRPr="003410DD">
        <w:rPr>
          <w:lang w:eastAsia="en-GB"/>
        </w:rPr>
        <w:t xml:space="preserve"> Sessions during </w:t>
      </w:r>
      <w:r w:rsidRPr="003410DD">
        <w:rPr>
          <w:rFonts w:eastAsia="Arial" w:cs="Arial"/>
          <w:color w:val="000000" w:themeColor="text1"/>
        </w:rPr>
        <w:t>Q</w:t>
      </w:r>
      <w:r w:rsidRPr="003410DD">
        <w:rPr>
          <w:lang w:eastAsia="en-GB"/>
        </w:rPr>
        <w:t xml:space="preserve">2 have increased despite still being subject to Covid safety regulations, meaning significantly fewer terminals were available to ensure distancing and shorter sessions, as cleaning time was required between customers. It is hoped usage will increase as more terminals are made available, but no dates for this have been confirmed as yet.  New target has been set taking </w:t>
      </w:r>
      <w:r w:rsidRPr="003410DD">
        <w:rPr>
          <w:rStyle w:val="NoSpacingChar"/>
          <w:rFonts w:ascii="Arial" w:hAnsi="Arial" w:cs="Arial"/>
        </w:rPr>
        <w:t xml:space="preserve">these limitations into account. </w:t>
      </w:r>
      <w:r w:rsidRPr="003410DD">
        <w:rPr>
          <w:rStyle w:val="NoSpacingChar"/>
          <w:rFonts w:ascii="Arial" w:hAnsi="Arial" w:cs="Arial"/>
        </w:rPr>
        <w:br/>
      </w:r>
      <w:r w:rsidRPr="003410DD">
        <w:rPr>
          <w:rStyle w:val="NoSpacingChar"/>
          <w:rFonts w:ascii="Arial" w:hAnsi="Arial" w:cs="Arial"/>
        </w:rPr>
        <w:br/>
      </w:r>
      <w:r w:rsidRPr="003410DD">
        <w:rPr>
          <w:b/>
          <w:bCs/>
          <w:lang w:eastAsia="en-GB"/>
        </w:rPr>
        <w:t>Library events.</w:t>
      </w:r>
      <w:r w:rsidRPr="003410DD">
        <w:rPr>
          <w:lang w:eastAsia="en-GB"/>
        </w:rPr>
        <w:t xml:space="preserve"> During Q2 online events have continued to remain popular, including adult's and children's book clubs, author interviews, activities etc. With some 730 individuals "attending" virtually. However, a significant number of events, particularly for children, re-started in library buildings, including many connected with the Summer Reading Challenge for young library users. However, capacity restrictions are thought likely to continue, which is reflected in the new target set.</w:t>
      </w:r>
    </w:p>
    <w:p w14:paraId="45ACAEDF" w14:textId="362D0299" w:rsidR="00170D99" w:rsidRPr="003410DD" w:rsidRDefault="006219DA" w:rsidP="00170D99">
      <w:pPr>
        <w:rPr>
          <w:highlight w:val="yellow"/>
          <w:lang w:eastAsia="en-GB"/>
        </w:rPr>
      </w:pPr>
      <w:r w:rsidRPr="003410DD">
        <w:rPr>
          <w:b/>
          <w:bCs/>
          <w:lang w:eastAsia="en-GB"/>
        </w:rPr>
        <w:t>e-downloads.</w:t>
      </w:r>
      <w:r w:rsidRPr="003410DD">
        <w:rPr>
          <w:lang w:eastAsia="en-GB"/>
        </w:rPr>
        <w:t xml:space="preserve"> The eBook service has seen significant increase in registered members and usage throughout the pandemic restrictions - with new formats - </w:t>
      </w:r>
      <w:proofErr w:type="spellStart"/>
      <w:r w:rsidRPr="003410DD">
        <w:rPr>
          <w:lang w:eastAsia="en-GB"/>
        </w:rPr>
        <w:t>eMagazines</w:t>
      </w:r>
      <w:proofErr w:type="spellEnd"/>
      <w:r w:rsidRPr="003410DD">
        <w:rPr>
          <w:lang w:eastAsia="en-GB"/>
        </w:rPr>
        <w:t xml:space="preserve">, </w:t>
      </w:r>
      <w:proofErr w:type="spellStart"/>
      <w:r w:rsidRPr="003410DD">
        <w:rPr>
          <w:lang w:eastAsia="en-GB"/>
        </w:rPr>
        <w:t>eNewspapers</w:t>
      </w:r>
      <w:proofErr w:type="spellEnd"/>
      <w:r w:rsidRPr="003410DD">
        <w:rPr>
          <w:lang w:eastAsia="en-GB"/>
        </w:rPr>
        <w:t xml:space="preserve"> and </w:t>
      </w:r>
      <w:proofErr w:type="spellStart"/>
      <w:r w:rsidRPr="003410DD">
        <w:rPr>
          <w:lang w:eastAsia="en-GB"/>
        </w:rPr>
        <w:t>eComics</w:t>
      </w:r>
      <w:proofErr w:type="spellEnd"/>
      <w:r w:rsidRPr="003410DD">
        <w:rPr>
          <w:lang w:eastAsia="en-GB"/>
        </w:rPr>
        <w:t xml:space="preserve"> - being made available, although currently some issues with obtaining data from a new supplier has proved a limiting factor affecting some figures. Whilst Q2 has seen some levelling off in usage, it appears those who have moved to the electronic formats are staying with them, which is reflected in the new target set. </w:t>
      </w:r>
    </w:p>
    <w:p w14:paraId="3F42C7F2" w14:textId="2F59D7B7" w:rsidR="00C53D54" w:rsidRPr="003410DD" w:rsidRDefault="006219DA" w:rsidP="00170D99">
      <w:r w:rsidRPr="003410DD">
        <w:rPr>
          <w:b/>
          <w:bCs/>
          <w:lang w:eastAsia="en-GB"/>
        </w:rPr>
        <w:lastRenderedPageBreak/>
        <w:t>Volunteers in libraries</w:t>
      </w:r>
      <w:r w:rsidRPr="003410DD">
        <w:rPr>
          <w:lang w:eastAsia="en-GB"/>
        </w:rPr>
        <w:t>. Figures for this measure are not cumulative as month on month it is likely many of the same individuals will make up much of the total. Q2 again saw only limited volunteer operated services running, with 68 volunteers on Home Library Service deliveries. Also 10 Culture Hack volunteers attended a session in-library, but other volunteers will not be able to return to libraries until restrictions are lifted (hopefully in the next Quarter) and will depend on the rollout of in-library events and willingness of individuals to resume volunteer duties.</w:t>
      </w:r>
    </w:p>
    <w:p w14:paraId="28611D2A" w14:textId="0A7E0335" w:rsidR="00297C68" w:rsidRPr="003410DD" w:rsidRDefault="006219DA" w:rsidP="00297C68">
      <w:pPr>
        <w:rPr>
          <w:rFonts w:eastAsiaTheme="minorHAnsi" w:cs="Arial"/>
        </w:rPr>
      </w:pPr>
      <w:r w:rsidRPr="003410DD">
        <w:rPr>
          <w:rFonts w:cs="Arial"/>
        </w:rPr>
        <w:t xml:space="preserve">The Library service view that although most of the figures are rated Green due to the new more realistic targets set but this is conditional on the continued impact of the relaxation of restrictions. However, the Events and Volunteers metrics are still lagging somewhat the new targets setup at the end of Q2 as the relaxation of restrictions factor had not started to take effect yet on these areas. Therefore it was agreed they should receive an Amber rating for Q2, as the expectations is they will catch up once restrictions are </w:t>
      </w:r>
      <w:r w:rsidR="0079600A" w:rsidRPr="003410DD">
        <w:rPr>
          <w:rFonts w:cs="Arial"/>
        </w:rPr>
        <w:t xml:space="preserve">further and/or </w:t>
      </w:r>
      <w:r w:rsidRPr="003410DD">
        <w:rPr>
          <w:rFonts w:cs="Arial"/>
        </w:rPr>
        <w:t>fully lifted.</w:t>
      </w:r>
    </w:p>
    <w:p w14:paraId="1DC733A9" w14:textId="77777777" w:rsidR="003627A1" w:rsidRDefault="003627A1" w:rsidP="00BA50AE">
      <w:pPr>
        <w:rPr>
          <w:b/>
          <w:bCs/>
          <w:color w:val="000000" w:themeColor="text1"/>
          <w:sz w:val="22"/>
          <w:szCs w:val="22"/>
        </w:rPr>
      </w:pPr>
    </w:p>
    <w:p w14:paraId="77157258" w14:textId="75488760" w:rsidR="00BA50AE" w:rsidRPr="00B42C53" w:rsidRDefault="006219DA" w:rsidP="00BA50AE">
      <w:pPr>
        <w:rPr>
          <w:color w:val="000000" w:themeColor="text1"/>
        </w:rPr>
      </w:pPr>
      <w:r w:rsidRPr="001B1936">
        <w:rPr>
          <w:b/>
          <w:bCs/>
          <w:color w:val="000000" w:themeColor="text1"/>
        </w:rPr>
        <w:t>Additional service developments</w:t>
      </w:r>
      <w:r>
        <w:rPr>
          <w:color w:val="000000" w:themeColor="text1"/>
        </w:rPr>
        <w:t xml:space="preserve">. </w:t>
      </w:r>
      <w:r w:rsidRPr="00B42C53">
        <w:rPr>
          <w:color w:val="000000" w:themeColor="text1"/>
        </w:rPr>
        <w:t xml:space="preserve">In addition to the above established key performance indicators many other service developments, projects and achievements are ongoing </w:t>
      </w:r>
      <w:r w:rsidR="00C83BA4" w:rsidRPr="00B42C53">
        <w:rPr>
          <w:color w:val="000000" w:themeColor="text1"/>
        </w:rPr>
        <w:t xml:space="preserve">helping </w:t>
      </w:r>
      <w:r w:rsidRPr="00B42C53">
        <w:rPr>
          <w:color w:val="000000" w:themeColor="text1"/>
        </w:rPr>
        <w:t>deliver the</w:t>
      </w:r>
      <w:r w:rsidR="00C83BA4" w:rsidRPr="00B42C53">
        <w:rPr>
          <w:color w:val="000000" w:themeColor="text1"/>
        </w:rPr>
        <w:t xml:space="preserve"> Supporting Economic Growth</w:t>
      </w:r>
      <w:r w:rsidRPr="00B42C53">
        <w:rPr>
          <w:color w:val="000000" w:themeColor="text1"/>
        </w:rPr>
        <w:t xml:space="preserve"> corporate priority.  Performance metrics are being developed for these areas, along with associated targets where appropriate</w:t>
      </w:r>
      <w:r>
        <w:rPr>
          <w:color w:val="000000" w:themeColor="text1"/>
        </w:rPr>
        <w:t>,</w:t>
      </w:r>
      <w:r w:rsidRPr="00B42C53">
        <w:rPr>
          <w:color w:val="000000" w:themeColor="text1"/>
        </w:rPr>
        <w:t xml:space="preserve"> for inclusion in future reports.</w:t>
      </w:r>
    </w:p>
    <w:p w14:paraId="0CD0839F" w14:textId="42C1B5F8" w:rsidR="00BA50AE" w:rsidRPr="00B42C53" w:rsidRDefault="006219DA" w:rsidP="00BA50AE">
      <w:pPr>
        <w:rPr>
          <w:color w:val="000000" w:themeColor="text1"/>
        </w:rPr>
      </w:pPr>
      <w:r w:rsidRPr="00B42C53">
        <w:rPr>
          <w:color w:val="000000" w:themeColor="text1"/>
        </w:rPr>
        <w:t xml:space="preserve">These </w:t>
      </w:r>
      <w:r w:rsidR="003627A1" w:rsidRPr="00B42C53">
        <w:rPr>
          <w:color w:val="000000" w:themeColor="text1"/>
        </w:rPr>
        <w:t xml:space="preserve">service </w:t>
      </w:r>
      <w:r w:rsidRPr="00B42C53">
        <w:rPr>
          <w:color w:val="000000" w:themeColor="text1"/>
        </w:rPr>
        <w:t>development areas include:</w:t>
      </w:r>
    </w:p>
    <w:p w14:paraId="2FA276BC" w14:textId="77777777" w:rsidR="00074D92" w:rsidRPr="00B42C53" w:rsidRDefault="006219DA" w:rsidP="00D130CF">
      <w:pPr>
        <w:pStyle w:val="ListParagraph"/>
        <w:numPr>
          <w:ilvl w:val="0"/>
          <w:numId w:val="6"/>
        </w:numPr>
        <w:rPr>
          <w:b/>
          <w:bCs/>
          <w:color w:val="000000" w:themeColor="text1"/>
        </w:rPr>
      </w:pPr>
      <w:r w:rsidRPr="00B42C53">
        <w:t xml:space="preserve">£15bn opportunities to invest in major development and infrastructure across the county. </w:t>
      </w:r>
    </w:p>
    <w:p w14:paraId="610450CE" w14:textId="4FB1FE82" w:rsidR="003627A1" w:rsidRPr="00B42C53" w:rsidRDefault="006219DA" w:rsidP="00D130CF">
      <w:pPr>
        <w:pStyle w:val="ListParagraph"/>
        <w:numPr>
          <w:ilvl w:val="0"/>
          <w:numId w:val="6"/>
        </w:numPr>
        <w:rPr>
          <w:b/>
          <w:bCs/>
          <w:color w:val="000000" w:themeColor="text1"/>
        </w:rPr>
      </w:pPr>
      <w:r w:rsidRPr="00B42C53">
        <w:t>A</w:t>
      </w:r>
      <w:r w:rsidR="00CD3CDD" w:rsidRPr="00B42C53">
        <w:t xml:space="preserve"> £1.75bn L</w:t>
      </w:r>
      <w:r w:rsidR="009816D1" w:rsidRPr="00B42C53">
        <w:t xml:space="preserve">ancashire </w:t>
      </w:r>
      <w:r w:rsidR="00CD3CDD" w:rsidRPr="00B42C53">
        <w:t>C</w:t>
      </w:r>
      <w:r w:rsidR="009816D1" w:rsidRPr="00B42C53">
        <w:t xml:space="preserve">ounty </w:t>
      </w:r>
      <w:r w:rsidR="00CD3CDD" w:rsidRPr="00B42C53">
        <w:t>C</w:t>
      </w:r>
      <w:r w:rsidR="009816D1" w:rsidRPr="00B42C53">
        <w:t>ouncil</w:t>
      </w:r>
      <w:r w:rsidR="00CD3CDD" w:rsidRPr="00B42C53">
        <w:t xml:space="preserve"> Development Pipeline.</w:t>
      </w:r>
    </w:p>
    <w:p w14:paraId="28563263" w14:textId="1C6EC83B" w:rsidR="00074D92" w:rsidRPr="00B42C53" w:rsidRDefault="006219DA" w:rsidP="00D130CF">
      <w:pPr>
        <w:pStyle w:val="ListParagraph"/>
        <w:numPr>
          <w:ilvl w:val="0"/>
          <w:numId w:val="6"/>
        </w:numPr>
        <w:rPr>
          <w:b/>
          <w:bCs/>
          <w:color w:val="000000" w:themeColor="text1"/>
        </w:rPr>
      </w:pPr>
      <w:r w:rsidRPr="00B42C53">
        <w:t xml:space="preserve">Delivery of the £256m South Lancaster Growth Catalyst including major road, bus, cycling and walking investment supported by Housing Infrastructure Fund, unlocking delivery of over 9000 houses and employment land. </w:t>
      </w:r>
    </w:p>
    <w:p w14:paraId="569F5632" w14:textId="6B2869CC" w:rsidR="00782ACB" w:rsidRPr="00B42C53" w:rsidRDefault="006219DA" w:rsidP="00D130CF">
      <w:pPr>
        <w:pStyle w:val="ListParagraph"/>
        <w:numPr>
          <w:ilvl w:val="0"/>
          <w:numId w:val="6"/>
        </w:numPr>
        <w:rPr>
          <w:b/>
          <w:bCs/>
          <w:color w:val="000000" w:themeColor="text1"/>
        </w:rPr>
      </w:pPr>
      <w:r w:rsidRPr="00B42C53">
        <w:t>A</w:t>
      </w:r>
      <w:r w:rsidR="00CD3CDD" w:rsidRPr="00B42C53">
        <w:t xml:space="preserve"> £12.8m Growth and Recovery Programme for Redefining Lancashire.</w:t>
      </w:r>
    </w:p>
    <w:p w14:paraId="1FC286DF" w14:textId="18E6E1B8" w:rsidR="00782ACB" w:rsidRPr="00B42C53" w:rsidRDefault="006219DA" w:rsidP="00D130CF">
      <w:pPr>
        <w:pStyle w:val="ListParagraph"/>
        <w:numPr>
          <w:ilvl w:val="0"/>
          <w:numId w:val="6"/>
        </w:numPr>
        <w:rPr>
          <w:b/>
          <w:bCs/>
          <w:color w:val="000000" w:themeColor="text1"/>
        </w:rPr>
      </w:pPr>
      <w:r w:rsidRPr="00B42C53">
        <w:t>The Eden North project</w:t>
      </w:r>
      <w:r w:rsidR="00AF30F3" w:rsidRPr="00B42C53">
        <w:t>, w</w:t>
      </w:r>
      <w:r w:rsidRPr="00B42C53">
        <w:t xml:space="preserve">hich is an exciting landmark opportunity </w:t>
      </w:r>
      <w:r w:rsidR="00613949" w:rsidRPr="00B42C53">
        <w:t xml:space="preserve">with </w:t>
      </w:r>
      <w:r w:rsidRPr="00B42C53">
        <w:t>£125m investment</w:t>
      </w:r>
      <w:r w:rsidR="00613949" w:rsidRPr="00B42C53">
        <w:t xml:space="preserve"> creating around</w:t>
      </w:r>
      <w:r w:rsidRPr="00B42C53">
        <w:t>2,000 construction jobs</w:t>
      </w:r>
      <w:r w:rsidR="00613949" w:rsidRPr="00B42C53">
        <w:t xml:space="preserve"> with an anticipated </w:t>
      </w:r>
      <w:r w:rsidRPr="00B42C53">
        <w:t>1m visitors.</w:t>
      </w:r>
      <w:r w:rsidR="00613949" w:rsidRPr="00B42C53">
        <w:t xml:space="preserve"> This is a</w:t>
      </w:r>
      <w:r w:rsidRPr="00B42C53">
        <w:t xml:space="preserve"> key driver for post-Covid green recovery in the North West. </w:t>
      </w:r>
    </w:p>
    <w:p w14:paraId="14314052" w14:textId="1396D52B" w:rsidR="002D74FB" w:rsidRPr="00B42C53" w:rsidRDefault="006219DA" w:rsidP="00D130CF">
      <w:pPr>
        <w:pStyle w:val="ListParagraph"/>
        <w:numPr>
          <w:ilvl w:val="0"/>
          <w:numId w:val="6"/>
        </w:numPr>
        <w:rPr>
          <w:b/>
          <w:bCs/>
          <w:color w:val="000000" w:themeColor="text1"/>
        </w:rPr>
      </w:pPr>
      <w:r w:rsidRPr="00B42C53">
        <w:t>The Preston Western Distributor which provides direct access to new housing developments and an alternative to rush hour traffic in the city centre</w:t>
      </w:r>
      <w:r w:rsidR="00613949" w:rsidRPr="00B42C53">
        <w:t xml:space="preserve"> and improves</w:t>
      </w:r>
      <w:r w:rsidRPr="00B42C53">
        <w:t xml:space="preserve"> access to the motorway from Warton Enterprise Zone</w:t>
      </w:r>
      <w:r w:rsidR="00770B2A" w:rsidRPr="00B42C53">
        <w:t>. It also supports the</w:t>
      </w:r>
      <w:r w:rsidRPr="00B42C53">
        <w:t xml:space="preserve"> delivery of </w:t>
      </w:r>
      <w:r w:rsidR="00770B2A" w:rsidRPr="00B42C53">
        <w:t xml:space="preserve">a </w:t>
      </w:r>
      <w:r w:rsidRPr="00B42C53">
        <w:t xml:space="preserve">new parkway rail station. </w:t>
      </w:r>
    </w:p>
    <w:p w14:paraId="734EE11D" w14:textId="33CC2775" w:rsidR="00D130CF" w:rsidRPr="006219DA" w:rsidRDefault="006219DA" w:rsidP="00D130CF">
      <w:pPr>
        <w:pStyle w:val="ListParagraph"/>
        <w:numPr>
          <w:ilvl w:val="0"/>
          <w:numId w:val="6"/>
        </w:numPr>
        <w:rPr>
          <w:b/>
          <w:bCs/>
          <w:color w:val="000000" w:themeColor="text1"/>
        </w:rPr>
      </w:pPr>
      <w:r w:rsidRPr="00B42C53">
        <w:lastRenderedPageBreak/>
        <w:t xml:space="preserve">Lancashire Central and </w:t>
      </w:r>
      <w:proofErr w:type="spellStart"/>
      <w:r w:rsidRPr="00B42C53">
        <w:t>Samlesbury</w:t>
      </w:r>
      <w:proofErr w:type="spellEnd"/>
      <w:r w:rsidRPr="00B42C53">
        <w:t xml:space="preserve"> Enterprise Zone </w:t>
      </w:r>
      <w:r w:rsidR="00F95609" w:rsidRPr="00B42C53">
        <w:t>which is a</w:t>
      </w:r>
      <w:r w:rsidRPr="00B42C53">
        <w:t xml:space="preserve"> 3</w:t>
      </w:r>
      <w:r w:rsidR="00FD5DEC" w:rsidRPr="00B42C53">
        <w:t xml:space="preserve"> </w:t>
      </w:r>
      <w:r w:rsidRPr="00B42C53">
        <w:t>m</w:t>
      </w:r>
      <w:r w:rsidR="00F95609" w:rsidRPr="00B42C53">
        <w:t>illion</w:t>
      </w:r>
      <w:r w:rsidRPr="00B42C53">
        <w:t xml:space="preserve"> sq. ft of commercial floorspace</w:t>
      </w:r>
      <w:r w:rsidR="004C2B6B" w:rsidRPr="00B42C53">
        <w:t xml:space="preserve"> including h</w:t>
      </w:r>
      <w:r w:rsidRPr="00B42C53">
        <w:t>igh tech industrial and research, advanced manufacturing, engineering and logistics</w:t>
      </w:r>
      <w:r w:rsidR="004C2B6B" w:rsidRPr="00B42C53">
        <w:t xml:space="preserve">. This is a </w:t>
      </w:r>
      <w:r w:rsidRPr="00B42C53">
        <w:t>£500m investment including major infrastructure and transport improvements.</w:t>
      </w:r>
    </w:p>
    <w:p w14:paraId="1A56110F" w14:textId="77777777" w:rsidR="006219DA" w:rsidRDefault="006219DA" w:rsidP="006219DA">
      <w:pPr>
        <w:rPr>
          <w:b/>
          <w:bCs/>
          <w:sz w:val="40"/>
          <w:szCs w:val="40"/>
          <w:lang w:eastAsia="en-GB"/>
        </w:rPr>
      </w:pPr>
    </w:p>
    <w:p w14:paraId="5F53BE0F" w14:textId="063AD6FB" w:rsidR="006219DA" w:rsidRPr="0081385F" w:rsidRDefault="006219DA" w:rsidP="006219DA">
      <w:pPr>
        <w:rPr>
          <w:b/>
          <w:bCs/>
          <w:color w:val="000000" w:themeColor="text1"/>
          <w:sz w:val="22"/>
          <w:szCs w:val="22"/>
        </w:rPr>
      </w:pPr>
      <w:r w:rsidRPr="0081385F">
        <w:rPr>
          <w:b/>
          <w:bCs/>
          <w:sz w:val="40"/>
          <w:szCs w:val="40"/>
          <w:lang w:eastAsia="en-GB"/>
        </w:rPr>
        <w:t>Caring for the vulnerable </w:t>
      </w:r>
    </w:p>
    <w:tbl>
      <w:tblPr>
        <w:tblpPr w:leftFromText="180" w:rightFromText="180" w:vertAnchor="text" w:horzAnchor="margin" w:tblpY="83"/>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1410"/>
        <w:gridCol w:w="1483"/>
        <w:gridCol w:w="878"/>
        <w:gridCol w:w="1276"/>
        <w:gridCol w:w="1365"/>
        <w:gridCol w:w="1951"/>
        <w:gridCol w:w="1508"/>
        <w:gridCol w:w="1508"/>
      </w:tblGrid>
      <w:tr w:rsidR="006219DA" w14:paraId="5AC8371C" w14:textId="77777777" w:rsidTr="000C3E92">
        <w:trPr>
          <w:trHeight w:val="252"/>
        </w:trPr>
        <w:tc>
          <w:tcPr>
            <w:tcW w:w="2745" w:type="dxa"/>
            <w:tcBorders>
              <w:top w:val="single" w:sz="4" w:space="0" w:color="auto"/>
              <w:left w:val="single" w:sz="4" w:space="0" w:color="auto"/>
              <w:bottom w:val="single" w:sz="4" w:space="0" w:color="auto"/>
              <w:right w:val="single" w:sz="4" w:space="0" w:color="auto"/>
            </w:tcBorders>
            <w:hideMark/>
          </w:tcPr>
          <w:p w14:paraId="2AAF2C67" w14:textId="77777777" w:rsidR="006219DA" w:rsidRPr="00511630" w:rsidRDefault="006219DA" w:rsidP="000C3E92">
            <w:pPr>
              <w:pStyle w:val="NoSpacing"/>
              <w:rPr>
                <w:rFonts w:ascii="Arial" w:hAnsi="Arial" w:cs="Arial"/>
                <w:b/>
                <w:sz w:val="20"/>
                <w:szCs w:val="20"/>
              </w:rPr>
            </w:pPr>
            <w:r w:rsidRPr="00511630">
              <w:rPr>
                <w:rFonts w:ascii="Arial" w:hAnsi="Arial" w:cs="Arial"/>
                <w:b/>
                <w:sz w:val="20"/>
                <w:szCs w:val="20"/>
              </w:rPr>
              <w:t>Performance Indicator</w:t>
            </w:r>
          </w:p>
        </w:tc>
        <w:tc>
          <w:tcPr>
            <w:tcW w:w="1410" w:type="dxa"/>
            <w:tcBorders>
              <w:top w:val="single" w:sz="4" w:space="0" w:color="auto"/>
              <w:left w:val="single" w:sz="4" w:space="0" w:color="auto"/>
              <w:bottom w:val="single" w:sz="4" w:space="0" w:color="auto"/>
              <w:right w:val="single" w:sz="4" w:space="0" w:color="auto"/>
            </w:tcBorders>
            <w:hideMark/>
          </w:tcPr>
          <w:p w14:paraId="1D4734ED" w14:textId="77777777" w:rsidR="006219DA" w:rsidRPr="00511630" w:rsidRDefault="006219DA" w:rsidP="000C3E92">
            <w:pPr>
              <w:pStyle w:val="NoSpacing"/>
              <w:rPr>
                <w:rFonts w:ascii="Arial" w:hAnsi="Arial" w:cs="Arial"/>
                <w:b/>
                <w:sz w:val="20"/>
                <w:szCs w:val="20"/>
              </w:rPr>
            </w:pPr>
            <w:r w:rsidRPr="00511630">
              <w:rPr>
                <w:rFonts w:ascii="Arial" w:hAnsi="Arial" w:cs="Arial"/>
                <w:b/>
                <w:sz w:val="20"/>
                <w:szCs w:val="20"/>
              </w:rPr>
              <w:t>Frequency</w:t>
            </w:r>
          </w:p>
        </w:tc>
        <w:tc>
          <w:tcPr>
            <w:tcW w:w="1483" w:type="dxa"/>
            <w:tcBorders>
              <w:top w:val="single" w:sz="4" w:space="0" w:color="auto"/>
              <w:left w:val="single" w:sz="4" w:space="0" w:color="auto"/>
              <w:bottom w:val="single" w:sz="4" w:space="0" w:color="auto"/>
              <w:right w:val="single" w:sz="4" w:space="0" w:color="auto"/>
            </w:tcBorders>
          </w:tcPr>
          <w:p w14:paraId="4FC622D7" w14:textId="77777777" w:rsidR="006219DA" w:rsidRPr="00511630" w:rsidRDefault="006219DA" w:rsidP="000C3E92">
            <w:pPr>
              <w:pStyle w:val="NoSpacing"/>
              <w:rPr>
                <w:rFonts w:ascii="Arial" w:hAnsi="Arial" w:cs="Arial"/>
                <w:b/>
                <w:sz w:val="20"/>
                <w:szCs w:val="20"/>
              </w:rPr>
            </w:pPr>
            <w:r w:rsidRPr="00511630">
              <w:rPr>
                <w:rFonts w:ascii="Arial" w:hAnsi="Arial" w:cs="Arial"/>
                <w:b/>
                <w:sz w:val="20"/>
                <w:szCs w:val="20"/>
              </w:rPr>
              <w:t xml:space="preserve">Directorate </w:t>
            </w:r>
          </w:p>
        </w:tc>
        <w:tc>
          <w:tcPr>
            <w:tcW w:w="878" w:type="dxa"/>
            <w:tcBorders>
              <w:top w:val="single" w:sz="4" w:space="0" w:color="auto"/>
              <w:left w:val="single" w:sz="4" w:space="0" w:color="auto"/>
              <w:bottom w:val="single" w:sz="4" w:space="0" w:color="auto"/>
              <w:right w:val="single" w:sz="4" w:space="0" w:color="auto"/>
            </w:tcBorders>
          </w:tcPr>
          <w:p w14:paraId="7F337B87" w14:textId="77777777" w:rsidR="006219DA" w:rsidRPr="00511630" w:rsidRDefault="006219DA" w:rsidP="000C3E92">
            <w:pPr>
              <w:pStyle w:val="NoSpacing"/>
              <w:rPr>
                <w:rFonts w:ascii="Arial" w:hAnsi="Arial" w:cs="Arial"/>
                <w:b/>
                <w:sz w:val="20"/>
                <w:szCs w:val="20"/>
              </w:rPr>
            </w:pPr>
            <w:r w:rsidRPr="00511630">
              <w:rPr>
                <w:rFonts w:ascii="Arial" w:hAnsi="Arial" w:cs="Arial"/>
                <w:b/>
                <w:sz w:val="20"/>
                <w:szCs w:val="20"/>
              </w:rPr>
              <w:t>Good is</w:t>
            </w:r>
          </w:p>
        </w:tc>
        <w:tc>
          <w:tcPr>
            <w:tcW w:w="1276" w:type="dxa"/>
            <w:tcBorders>
              <w:top w:val="single" w:sz="4" w:space="0" w:color="auto"/>
              <w:left w:val="single" w:sz="4" w:space="0" w:color="auto"/>
              <w:bottom w:val="single" w:sz="4" w:space="0" w:color="auto"/>
              <w:right w:val="single" w:sz="4" w:space="0" w:color="auto"/>
            </w:tcBorders>
          </w:tcPr>
          <w:p w14:paraId="7516D9AF" w14:textId="77777777" w:rsidR="006219DA" w:rsidRPr="00511630" w:rsidRDefault="006219DA" w:rsidP="000C3E92">
            <w:pPr>
              <w:pStyle w:val="NoSpacing"/>
              <w:rPr>
                <w:rFonts w:ascii="Arial" w:hAnsi="Arial" w:cs="Arial"/>
                <w:b/>
                <w:bCs/>
                <w:sz w:val="20"/>
                <w:szCs w:val="20"/>
              </w:rPr>
            </w:pPr>
            <w:r w:rsidRPr="00511630">
              <w:rPr>
                <w:rFonts w:ascii="Arial" w:hAnsi="Arial" w:cs="Arial"/>
                <w:b/>
                <w:bCs/>
                <w:sz w:val="20"/>
                <w:szCs w:val="20"/>
              </w:rPr>
              <w:t>2019/20 Outturn</w:t>
            </w:r>
          </w:p>
        </w:tc>
        <w:tc>
          <w:tcPr>
            <w:tcW w:w="1365" w:type="dxa"/>
            <w:tcBorders>
              <w:top w:val="single" w:sz="4" w:space="0" w:color="auto"/>
              <w:left w:val="single" w:sz="4" w:space="0" w:color="auto"/>
              <w:bottom w:val="single" w:sz="4" w:space="0" w:color="auto"/>
              <w:right w:val="single" w:sz="4" w:space="0" w:color="auto"/>
            </w:tcBorders>
          </w:tcPr>
          <w:p w14:paraId="08AA014B" w14:textId="77777777" w:rsidR="006219DA" w:rsidRPr="00511630" w:rsidRDefault="006219DA" w:rsidP="000C3E92">
            <w:pPr>
              <w:pStyle w:val="NoSpacing"/>
              <w:rPr>
                <w:rFonts w:ascii="Arial" w:hAnsi="Arial" w:cs="Arial"/>
                <w:b/>
                <w:bCs/>
                <w:sz w:val="20"/>
                <w:szCs w:val="20"/>
              </w:rPr>
            </w:pPr>
            <w:r w:rsidRPr="00511630">
              <w:rPr>
                <w:rFonts w:ascii="Arial" w:hAnsi="Arial" w:cs="Arial"/>
                <w:b/>
                <w:bCs/>
                <w:sz w:val="20"/>
                <w:szCs w:val="20"/>
              </w:rPr>
              <w:t>2020/21 Outturn</w:t>
            </w:r>
          </w:p>
        </w:tc>
        <w:tc>
          <w:tcPr>
            <w:tcW w:w="1951" w:type="dxa"/>
            <w:tcBorders>
              <w:top w:val="single" w:sz="4" w:space="0" w:color="auto"/>
              <w:left w:val="single" w:sz="4" w:space="0" w:color="auto"/>
              <w:bottom w:val="single" w:sz="4" w:space="0" w:color="auto"/>
              <w:right w:val="single" w:sz="4" w:space="0" w:color="auto"/>
            </w:tcBorders>
          </w:tcPr>
          <w:p w14:paraId="7D005151" w14:textId="77777777" w:rsidR="006219DA" w:rsidRPr="00511630" w:rsidRDefault="006219DA" w:rsidP="000C3E92">
            <w:pPr>
              <w:pStyle w:val="NoSpacing"/>
              <w:rPr>
                <w:rFonts w:ascii="Arial" w:hAnsi="Arial" w:cs="Arial"/>
                <w:b/>
                <w:bCs/>
                <w:sz w:val="20"/>
                <w:szCs w:val="20"/>
              </w:rPr>
            </w:pPr>
            <w:r w:rsidRPr="00511630">
              <w:rPr>
                <w:rFonts w:ascii="Arial" w:hAnsi="Arial" w:cs="Arial"/>
                <w:b/>
                <w:bCs/>
                <w:sz w:val="20"/>
                <w:szCs w:val="20"/>
              </w:rPr>
              <w:t xml:space="preserve">2021/22   </w:t>
            </w:r>
          </w:p>
          <w:p w14:paraId="103C7DAD" w14:textId="77777777" w:rsidR="006219DA" w:rsidRPr="00511630" w:rsidRDefault="006219DA" w:rsidP="000C3E92">
            <w:pPr>
              <w:pStyle w:val="NoSpacing"/>
              <w:rPr>
                <w:rFonts w:ascii="Arial" w:hAnsi="Arial" w:cs="Arial"/>
                <w:b/>
                <w:bCs/>
                <w:sz w:val="20"/>
                <w:szCs w:val="20"/>
              </w:rPr>
            </w:pPr>
            <w:r w:rsidRPr="00511630">
              <w:rPr>
                <w:rFonts w:ascii="Arial" w:hAnsi="Arial" w:cs="Arial"/>
                <w:b/>
                <w:bCs/>
                <w:sz w:val="20"/>
                <w:szCs w:val="20"/>
              </w:rPr>
              <w:t xml:space="preserve">Quarter 1 </w:t>
            </w:r>
          </w:p>
          <w:p w14:paraId="7BAE0307" w14:textId="77777777" w:rsidR="006219DA" w:rsidRPr="00511630" w:rsidRDefault="006219DA" w:rsidP="000C3E92">
            <w:pPr>
              <w:pStyle w:val="NoSpacing"/>
              <w:rPr>
                <w:rFonts w:ascii="Arial" w:hAnsi="Arial" w:cs="Arial"/>
                <w:b/>
                <w:bCs/>
                <w:sz w:val="20"/>
                <w:szCs w:val="20"/>
              </w:rPr>
            </w:pPr>
            <w:r w:rsidRPr="00511630">
              <w:rPr>
                <w:rFonts w:ascii="Arial" w:hAnsi="Arial" w:cs="Arial"/>
                <w:b/>
                <w:bCs/>
                <w:sz w:val="20"/>
                <w:szCs w:val="20"/>
              </w:rPr>
              <w:t>(April-June)</w:t>
            </w:r>
          </w:p>
        </w:tc>
        <w:tc>
          <w:tcPr>
            <w:tcW w:w="1508" w:type="dxa"/>
            <w:tcBorders>
              <w:top w:val="single" w:sz="4" w:space="0" w:color="auto"/>
              <w:left w:val="single" w:sz="4" w:space="0" w:color="auto"/>
              <w:bottom w:val="single" w:sz="4" w:space="0" w:color="auto"/>
              <w:right w:val="single" w:sz="4" w:space="0" w:color="auto"/>
            </w:tcBorders>
          </w:tcPr>
          <w:p w14:paraId="5DB711B0" w14:textId="77777777" w:rsidR="006219DA" w:rsidRPr="00511630" w:rsidRDefault="006219DA" w:rsidP="000C3E92">
            <w:pPr>
              <w:pStyle w:val="NoSpacing"/>
              <w:rPr>
                <w:rFonts w:ascii="Arial" w:hAnsi="Arial" w:cs="Arial"/>
                <w:b/>
                <w:bCs/>
                <w:sz w:val="20"/>
                <w:szCs w:val="20"/>
              </w:rPr>
            </w:pPr>
            <w:r w:rsidRPr="00511630">
              <w:rPr>
                <w:rFonts w:ascii="Arial" w:hAnsi="Arial" w:cs="Arial"/>
                <w:b/>
                <w:bCs/>
                <w:sz w:val="20"/>
                <w:szCs w:val="20"/>
              </w:rPr>
              <w:t xml:space="preserve">2021/22 </w:t>
            </w:r>
          </w:p>
          <w:p w14:paraId="532E6760" w14:textId="77777777" w:rsidR="006219DA" w:rsidRPr="00511630" w:rsidRDefault="006219DA" w:rsidP="000C3E92">
            <w:pPr>
              <w:pStyle w:val="NoSpacing"/>
              <w:rPr>
                <w:rFonts w:ascii="Arial" w:hAnsi="Arial" w:cs="Arial"/>
                <w:b/>
                <w:bCs/>
                <w:sz w:val="20"/>
                <w:szCs w:val="20"/>
              </w:rPr>
            </w:pPr>
            <w:r w:rsidRPr="00511630">
              <w:rPr>
                <w:rFonts w:ascii="Arial" w:hAnsi="Arial" w:cs="Arial"/>
                <w:b/>
                <w:bCs/>
                <w:sz w:val="20"/>
                <w:szCs w:val="20"/>
              </w:rPr>
              <w:t xml:space="preserve">Quarter 2 </w:t>
            </w:r>
          </w:p>
          <w:p w14:paraId="3640B0EE" w14:textId="77777777" w:rsidR="006219DA" w:rsidRPr="00511630" w:rsidRDefault="006219DA" w:rsidP="000C3E92">
            <w:pPr>
              <w:pStyle w:val="NoSpacing"/>
              <w:rPr>
                <w:rFonts w:ascii="Arial" w:hAnsi="Arial" w:cs="Arial"/>
                <w:b/>
                <w:bCs/>
                <w:sz w:val="20"/>
                <w:szCs w:val="20"/>
              </w:rPr>
            </w:pPr>
            <w:r w:rsidRPr="00511630">
              <w:rPr>
                <w:rFonts w:ascii="Arial" w:hAnsi="Arial" w:cs="Arial"/>
                <w:b/>
                <w:bCs/>
                <w:sz w:val="20"/>
                <w:szCs w:val="20"/>
              </w:rPr>
              <w:t>(July – Sep)</w:t>
            </w:r>
          </w:p>
        </w:tc>
        <w:tc>
          <w:tcPr>
            <w:tcW w:w="1508" w:type="dxa"/>
            <w:tcBorders>
              <w:top w:val="single" w:sz="4" w:space="0" w:color="auto"/>
              <w:left w:val="single" w:sz="4" w:space="0" w:color="auto"/>
              <w:bottom w:val="single" w:sz="4" w:space="0" w:color="auto"/>
              <w:right w:val="single" w:sz="4" w:space="0" w:color="auto"/>
            </w:tcBorders>
          </w:tcPr>
          <w:p w14:paraId="6AD0793E" w14:textId="77777777" w:rsidR="006219DA" w:rsidRPr="00511630" w:rsidRDefault="006219DA" w:rsidP="000C3E92">
            <w:pPr>
              <w:pStyle w:val="NoSpacing"/>
              <w:rPr>
                <w:rFonts w:ascii="Arial" w:hAnsi="Arial" w:cs="Arial"/>
                <w:b/>
                <w:bCs/>
                <w:sz w:val="20"/>
                <w:szCs w:val="20"/>
              </w:rPr>
            </w:pPr>
            <w:r w:rsidRPr="00511630">
              <w:rPr>
                <w:rFonts w:ascii="Arial" w:hAnsi="Arial" w:cs="Arial"/>
                <w:b/>
                <w:bCs/>
                <w:sz w:val="20"/>
                <w:szCs w:val="20"/>
              </w:rPr>
              <w:t>2021/22 Target</w:t>
            </w:r>
          </w:p>
        </w:tc>
      </w:tr>
      <w:tr w:rsidR="006219DA" w14:paraId="74DC650E" w14:textId="77777777" w:rsidTr="000C3E92">
        <w:trPr>
          <w:trHeight w:val="2117"/>
        </w:trPr>
        <w:tc>
          <w:tcPr>
            <w:tcW w:w="2745" w:type="dxa"/>
            <w:tcBorders>
              <w:top w:val="single" w:sz="4" w:space="0" w:color="auto"/>
              <w:left w:val="single" w:sz="4" w:space="0" w:color="auto"/>
              <w:bottom w:val="single" w:sz="4" w:space="0" w:color="auto"/>
              <w:right w:val="single" w:sz="4" w:space="0" w:color="auto"/>
            </w:tcBorders>
            <w:hideMark/>
          </w:tcPr>
          <w:p w14:paraId="4DF7031D" w14:textId="77777777" w:rsidR="006219DA" w:rsidRPr="00CF5FAC" w:rsidRDefault="006219DA" w:rsidP="000C3E92">
            <w:pPr>
              <w:pStyle w:val="NoSpacing"/>
              <w:rPr>
                <w:rFonts w:ascii="Arial" w:hAnsi="Arial" w:cs="Arial"/>
              </w:rPr>
            </w:pPr>
            <w:r w:rsidRPr="62385CB5">
              <w:rPr>
                <w:rFonts w:ascii="Arial" w:hAnsi="Arial" w:cs="Arial"/>
              </w:rPr>
              <w:t>Percentage of children and young people who received targeted early help support from Children and Families Wellbeing service which successfully met their identified needs</w:t>
            </w:r>
          </w:p>
        </w:tc>
        <w:tc>
          <w:tcPr>
            <w:tcW w:w="1410" w:type="dxa"/>
            <w:tcBorders>
              <w:top w:val="single" w:sz="4" w:space="0" w:color="auto"/>
              <w:left w:val="single" w:sz="4" w:space="0" w:color="auto"/>
              <w:bottom w:val="single" w:sz="4" w:space="0" w:color="auto"/>
              <w:right w:val="single" w:sz="4" w:space="0" w:color="auto"/>
            </w:tcBorders>
            <w:hideMark/>
          </w:tcPr>
          <w:p w14:paraId="183F567D" w14:textId="77777777" w:rsidR="006219DA" w:rsidRPr="00CF5FAC" w:rsidRDefault="006219DA" w:rsidP="000C3E92">
            <w:pPr>
              <w:pStyle w:val="NoSpacing"/>
              <w:rPr>
                <w:rFonts w:ascii="Arial" w:hAnsi="Arial" w:cs="Arial"/>
                <w:i/>
                <w:iCs/>
              </w:rPr>
            </w:pPr>
            <w:r w:rsidRPr="62385CB5">
              <w:rPr>
                <w:rFonts w:ascii="Arial" w:hAnsi="Arial" w:cs="Arial"/>
              </w:rPr>
              <w:t>Quarterly</w:t>
            </w:r>
          </w:p>
        </w:tc>
        <w:tc>
          <w:tcPr>
            <w:tcW w:w="1483" w:type="dxa"/>
            <w:tcBorders>
              <w:top w:val="single" w:sz="4" w:space="0" w:color="auto"/>
              <w:left w:val="single" w:sz="4" w:space="0" w:color="auto"/>
              <w:bottom w:val="single" w:sz="4" w:space="0" w:color="auto"/>
              <w:right w:val="single" w:sz="4" w:space="0" w:color="auto"/>
            </w:tcBorders>
          </w:tcPr>
          <w:p w14:paraId="50E5C2EA" w14:textId="77777777" w:rsidR="006219DA" w:rsidRPr="00CF5FAC" w:rsidRDefault="006219DA" w:rsidP="000C3E92">
            <w:pPr>
              <w:pStyle w:val="NoSpacing"/>
              <w:rPr>
                <w:rFonts w:ascii="Arial" w:hAnsi="Arial" w:cs="Arial"/>
              </w:rPr>
            </w:pPr>
            <w:r w:rsidRPr="62385CB5">
              <w:rPr>
                <w:rFonts w:ascii="Arial" w:hAnsi="Arial" w:cs="Arial"/>
              </w:rPr>
              <w:t>Education and Children's Services</w:t>
            </w:r>
          </w:p>
        </w:tc>
        <w:tc>
          <w:tcPr>
            <w:tcW w:w="878" w:type="dxa"/>
            <w:tcBorders>
              <w:top w:val="single" w:sz="4" w:space="0" w:color="auto"/>
              <w:left w:val="single" w:sz="4" w:space="0" w:color="auto"/>
              <w:bottom w:val="single" w:sz="4" w:space="0" w:color="auto"/>
              <w:right w:val="single" w:sz="4" w:space="0" w:color="auto"/>
            </w:tcBorders>
          </w:tcPr>
          <w:p w14:paraId="19736C1E" w14:textId="77777777" w:rsidR="006219DA" w:rsidRPr="00CF5FAC" w:rsidRDefault="006219DA" w:rsidP="000C3E92">
            <w:pPr>
              <w:pStyle w:val="NoSpacing"/>
              <w:rPr>
                <w:rFonts w:ascii="Arial" w:hAnsi="Arial" w:cs="Arial"/>
              </w:rPr>
            </w:pPr>
            <w:r w:rsidRPr="62385CB5">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077DF5" w14:textId="77777777" w:rsidR="006219DA" w:rsidRDefault="006219DA" w:rsidP="000C3E92">
            <w:pPr>
              <w:pStyle w:val="NoSpacing"/>
            </w:pPr>
            <w:r w:rsidRPr="62385CB5">
              <w:rPr>
                <w:rFonts w:ascii="Arial" w:hAnsi="Arial" w:cs="Arial"/>
              </w:rPr>
              <w:t>65.5%</w:t>
            </w:r>
          </w:p>
          <w:p w14:paraId="46780FA6" w14:textId="77777777" w:rsidR="006219DA" w:rsidRDefault="006219DA" w:rsidP="000C3E92">
            <w:pPr>
              <w:pStyle w:val="NoSpacing"/>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6FD1FA9" w14:textId="77777777" w:rsidR="006219DA" w:rsidRDefault="006219DA" w:rsidP="000C3E92">
            <w:pPr>
              <w:pStyle w:val="NoSpacing"/>
            </w:pPr>
            <w:r w:rsidRPr="62385CB5">
              <w:rPr>
                <w:rFonts w:ascii="Arial" w:hAnsi="Arial" w:cs="Arial"/>
              </w:rPr>
              <w:t>64%</w:t>
            </w:r>
          </w:p>
        </w:tc>
        <w:tc>
          <w:tcPr>
            <w:tcW w:w="19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B44D65" w14:textId="77777777" w:rsidR="006219DA" w:rsidRDefault="006219DA" w:rsidP="000C3E92">
            <w:pPr>
              <w:pStyle w:val="NoSpacing"/>
            </w:pPr>
            <w:r w:rsidRPr="62385CB5">
              <w:rPr>
                <w:rFonts w:ascii="Arial" w:hAnsi="Arial" w:cs="Arial"/>
              </w:rPr>
              <w:t>70%</w:t>
            </w:r>
          </w:p>
          <w:p w14:paraId="1B09DB9C" w14:textId="77777777" w:rsidR="006219DA" w:rsidRDefault="006219DA" w:rsidP="000C3E92">
            <w:pPr>
              <w:pStyle w:val="NoSpacing"/>
              <w:rPr>
                <w:rFonts w:ascii="Arial" w:hAnsi="Arial" w:cs="Arial"/>
              </w:rPr>
            </w:pPr>
          </w:p>
          <w:p w14:paraId="643AA0D3" w14:textId="77777777" w:rsidR="006219DA" w:rsidRDefault="006219DA" w:rsidP="000C3E92">
            <w:pPr>
              <w:pStyle w:val="NoSpacing"/>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389E7D" w14:textId="77777777" w:rsidR="006219DA" w:rsidRPr="62385CB5" w:rsidRDefault="006219DA" w:rsidP="000C3E92">
            <w:pPr>
              <w:pStyle w:val="NoSpacing"/>
              <w:rPr>
                <w:rFonts w:ascii="Arial" w:hAnsi="Arial" w:cs="Arial"/>
              </w:rPr>
            </w:pPr>
            <w:r w:rsidRPr="4E6013FB">
              <w:rPr>
                <w:rFonts w:ascii="Arial" w:hAnsi="Arial" w:cs="Arial"/>
              </w:rPr>
              <w:t>69%</w:t>
            </w:r>
          </w:p>
        </w:tc>
        <w:tc>
          <w:tcPr>
            <w:tcW w:w="1508" w:type="dxa"/>
            <w:tcBorders>
              <w:top w:val="single" w:sz="4" w:space="0" w:color="auto"/>
              <w:left w:val="single" w:sz="4" w:space="0" w:color="auto"/>
              <w:bottom w:val="single" w:sz="4" w:space="0" w:color="auto"/>
              <w:right w:val="single" w:sz="4" w:space="0" w:color="auto"/>
            </w:tcBorders>
          </w:tcPr>
          <w:p w14:paraId="6F24E119" w14:textId="77777777" w:rsidR="006219DA" w:rsidRPr="00CF5FAC" w:rsidRDefault="006219DA" w:rsidP="000C3E92">
            <w:pPr>
              <w:pStyle w:val="NoSpacing"/>
              <w:jc w:val="center"/>
              <w:rPr>
                <w:rFonts w:ascii="Arial" w:hAnsi="Arial" w:cs="Arial"/>
              </w:rPr>
            </w:pPr>
            <w:r w:rsidRPr="002B63F1">
              <w:rPr>
                <w:rFonts w:ascii="Arial" w:hAnsi="Arial" w:cs="Arial"/>
              </w:rPr>
              <w:t>66%</w:t>
            </w:r>
          </w:p>
        </w:tc>
      </w:tr>
      <w:tr w:rsidR="006219DA" w14:paraId="59B4B143" w14:textId="77777777" w:rsidTr="000C3E92">
        <w:trPr>
          <w:trHeight w:val="190"/>
        </w:trPr>
        <w:tc>
          <w:tcPr>
            <w:tcW w:w="2745" w:type="dxa"/>
            <w:tcBorders>
              <w:top w:val="single" w:sz="4" w:space="0" w:color="auto"/>
              <w:left w:val="single" w:sz="4" w:space="0" w:color="auto"/>
              <w:bottom w:val="single" w:sz="4" w:space="0" w:color="auto"/>
              <w:right w:val="single" w:sz="4" w:space="0" w:color="auto"/>
            </w:tcBorders>
            <w:hideMark/>
          </w:tcPr>
          <w:p w14:paraId="461DB65B" w14:textId="77777777" w:rsidR="006219DA" w:rsidRPr="0087783B" w:rsidRDefault="006219DA" w:rsidP="000C3E92">
            <w:pPr>
              <w:pStyle w:val="NoSpacing"/>
              <w:rPr>
                <w:rFonts w:ascii="Arial" w:hAnsi="Arial" w:cs="Arial"/>
              </w:rPr>
            </w:pPr>
            <w:r w:rsidRPr="78C3123E">
              <w:rPr>
                <w:rFonts w:ascii="Arial" w:hAnsi="Arial" w:cs="Arial"/>
              </w:rPr>
              <w:t>Percentage of children looked after who are actually living in Lancashire</w:t>
            </w:r>
          </w:p>
          <w:p w14:paraId="7CE9AD07" w14:textId="77777777" w:rsidR="006219DA" w:rsidRPr="0087783B" w:rsidRDefault="006219DA" w:rsidP="000C3E92">
            <w:pPr>
              <w:pStyle w:val="NoSpacing"/>
              <w:rPr>
                <w:rFonts w:ascii="Arial" w:hAnsi="Arial" w:cs="Arial"/>
              </w:rPr>
            </w:pPr>
          </w:p>
        </w:tc>
        <w:tc>
          <w:tcPr>
            <w:tcW w:w="1410" w:type="dxa"/>
            <w:tcBorders>
              <w:top w:val="single" w:sz="4" w:space="0" w:color="auto"/>
              <w:left w:val="single" w:sz="4" w:space="0" w:color="auto"/>
              <w:bottom w:val="single" w:sz="4" w:space="0" w:color="auto"/>
              <w:right w:val="single" w:sz="4" w:space="0" w:color="auto"/>
            </w:tcBorders>
            <w:hideMark/>
          </w:tcPr>
          <w:p w14:paraId="2B9FDBEE" w14:textId="77777777" w:rsidR="006219DA" w:rsidRPr="0087783B" w:rsidRDefault="006219DA" w:rsidP="000C3E92">
            <w:pPr>
              <w:pStyle w:val="NoSpacing"/>
              <w:rPr>
                <w:rFonts w:ascii="Arial" w:hAnsi="Arial" w:cs="Arial"/>
              </w:rPr>
            </w:pPr>
            <w:r w:rsidRPr="0087783B">
              <w:rPr>
                <w:rFonts w:ascii="Arial" w:hAnsi="Arial" w:cs="Arial"/>
              </w:rPr>
              <w:t>Quarterly</w:t>
            </w:r>
          </w:p>
        </w:tc>
        <w:tc>
          <w:tcPr>
            <w:tcW w:w="1483" w:type="dxa"/>
            <w:tcBorders>
              <w:top w:val="single" w:sz="4" w:space="0" w:color="auto"/>
              <w:left w:val="single" w:sz="4" w:space="0" w:color="auto"/>
              <w:bottom w:val="single" w:sz="4" w:space="0" w:color="auto"/>
              <w:right w:val="single" w:sz="4" w:space="0" w:color="auto"/>
            </w:tcBorders>
          </w:tcPr>
          <w:p w14:paraId="2EC51300" w14:textId="77777777" w:rsidR="006219DA" w:rsidRPr="0087783B" w:rsidRDefault="006219DA" w:rsidP="000C3E92">
            <w:pPr>
              <w:pStyle w:val="NoSpacing"/>
              <w:rPr>
                <w:rFonts w:ascii="Arial" w:hAnsi="Arial" w:cs="Arial"/>
              </w:rPr>
            </w:pPr>
            <w:r w:rsidRPr="0087783B">
              <w:rPr>
                <w:rFonts w:ascii="Arial" w:hAnsi="Arial" w:cs="Arial"/>
              </w:rPr>
              <w:t>Education and Children's Services</w:t>
            </w:r>
          </w:p>
        </w:tc>
        <w:tc>
          <w:tcPr>
            <w:tcW w:w="878" w:type="dxa"/>
            <w:tcBorders>
              <w:top w:val="single" w:sz="4" w:space="0" w:color="auto"/>
              <w:left w:val="single" w:sz="4" w:space="0" w:color="auto"/>
              <w:bottom w:val="single" w:sz="4" w:space="0" w:color="auto"/>
              <w:right w:val="single" w:sz="4" w:space="0" w:color="auto"/>
            </w:tcBorders>
          </w:tcPr>
          <w:p w14:paraId="5976C329" w14:textId="77777777" w:rsidR="006219DA" w:rsidRPr="0087783B" w:rsidRDefault="006219DA" w:rsidP="000C3E92">
            <w:pPr>
              <w:pStyle w:val="NoSpacing"/>
              <w:rPr>
                <w:rFonts w:ascii="Arial" w:hAnsi="Arial" w:cs="Arial"/>
              </w:rPr>
            </w:pPr>
            <w:r w:rsidRPr="0087783B">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29E5C5" w14:textId="77777777" w:rsidR="006219DA" w:rsidRDefault="006219DA" w:rsidP="000C3E92">
            <w:pPr>
              <w:pStyle w:val="NoSpacing"/>
              <w:rPr>
                <w:rFonts w:ascii="Arial" w:hAnsi="Arial" w:cs="Arial"/>
              </w:rPr>
            </w:pPr>
            <w:r w:rsidRPr="62385CB5">
              <w:rPr>
                <w:rFonts w:ascii="Arial" w:hAnsi="Arial" w:cs="Arial"/>
              </w:rPr>
              <w:t xml:space="preserve">79.9% </w:t>
            </w:r>
            <w:r>
              <w:br/>
            </w:r>
            <w:r w:rsidRPr="62385CB5">
              <w:rPr>
                <w:rFonts w:ascii="Arial" w:hAnsi="Arial" w:cs="Arial"/>
              </w:rPr>
              <w:t>March 2020</w:t>
            </w:r>
          </w:p>
        </w:tc>
        <w:tc>
          <w:tcPr>
            <w:tcW w:w="13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60834B" w14:textId="77777777" w:rsidR="006219DA" w:rsidRDefault="006219DA" w:rsidP="000C3E92">
            <w:pPr>
              <w:pStyle w:val="NoSpacing"/>
              <w:rPr>
                <w:rFonts w:ascii="Arial" w:hAnsi="Arial" w:cs="Arial"/>
              </w:rPr>
            </w:pPr>
            <w:r w:rsidRPr="62385CB5">
              <w:rPr>
                <w:rFonts w:ascii="Arial" w:hAnsi="Arial" w:cs="Arial"/>
              </w:rPr>
              <w:t xml:space="preserve">80.0% </w:t>
            </w:r>
            <w:r>
              <w:br/>
            </w:r>
            <w:r w:rsidRPr="62385CB5">
              <w:rPr>
                <w:rFonts w:ascii="Arial" w:hAnsi="Arial" w:cs="Arial"/>
              </w:rPr>
              <w:t>March 2021</w:t>
            </w:r>
          </w:p>
        </w:tc>
        <w:tc>
          <w:tcPr>
            <w:tcW w:w="19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799AE16" w14:textId="77777777" w:rsidR="006219DA" w:rsidRDefault="006219DA" w:rsidP="000C3E92">
            <w:pPr>
              <w:pStyle w:val="NoSpacing"/>
              <w:rPr>
                <w:rFonts w:ascii="Arial" w:hAnsi="Arial" w:cs="Arial"/>
              </w:rPr>
            </w:pPr>
            <w:r w:rsidRPr="62385CB5">
              <w:rPr>
                <w:rFonts w:ascii="Arial" w:hAnsi="Arial" w:cs="Arial"/>
              </w:rPr>
              <w:t>81.2%</w:t>
            </w:r>
            <w:r>
              <w:br/>
            </w:r>
            <w:r w:rsidRPr="62385CB5">
              <w:rPr>
                <w:rFonts w:ascii="Arial" w:hAnsi="Arial" w:cs="Arial"/>
              </w:rPr>
              <w:t>June 21</w:t>
            </w:r>
          </w:p>
        </w:tc>
        <w:tc>
          <w:tcPr>
            <w:tcW w:w="15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B853A9" w14:textId="77777777" w:rsidR="006219DA" w:rsidRPr="0087783B" w:rsidRDefault="006219DA" w:rsidP="000C3E92">
            <w:pPr>
              <w:pStyle w:val="NoSpacing"/>
              <w:rPr>
                <w:rFonts w:ascii="Arial" w:hAnsi="Arial" w:cs="Arial"/>
              </w:rPr>
            </w:pPr>
            <w:r w:rsidRPr="4E6013FB">
              <w:rPr>
                <w:rFonts w:ascii="Arial" w:hAnsi="Arial" w:cs="Arial"/>
              </w:rPr>
              <w:t xml:space="preserve">81.7% </w:t>
            </w:r>
          </w:p>
          <w:p w14:paraId="536E7A25" w14:textId="77777777" w:rsidR="006219DA" w:rsidRPr="0087783B" w:rsidRDefault="006219DA" w:rsidP="000C3E92">
            <w:pPr>
              <w:pStyle w:val="NoSpacing"/>
              <w:rPr>
                <w:rFonts w:ascii="Arial" w:hAnsi="Arial" w:cs="Arial"/>
              </w:rPr>
            </w:pPr>
            <w:r w:rsidRPr="4E6013FB">
              <w:rPr>
                <w:rFonts w:ascii="Arial" w:hAnsi="Arial" w:cs="Arial"/>
              </w:rPr>
              <w:t>September 2021</w:t>
            </w:r>
          </w:p>
          <w:p w14:paraId="5050D21B" w14:textId="77777777" w:rsidR="006219DA" w:rsidRPr="0087783B" w:rsidRDefault="006219DA" w:rsidP="000C3E92">
            <w:pPr>
              <w:pStyle w:val="NoSpacing"/>
              <w:jc w:val="center"/>
            </w:pPr>
          </w:p>
        </w:tc>
        <w:tc>
          <w:tcPr>
            <w:tcW w:w="1508" w:type="dxa"/>
            <w:tcBorders>
              <w:top w:val="single" w:sz="4" w:space="0" w:color="auto"/>
              <w:left w:val="single" w:sz="4" w:space="0" w:color="auto"/>
              <w:bottom w:val="single" w:sz="4" w:space="0" w:color="auto"/>
              <w:right w:val="single" w:sz="4" w:space="0" w:color="auto"/>
            </w:tcBorders>
          </w:tcPr>
          <w:p w14:paraId="47992887" w14:textId="77777777" w:rsidR="006219DA" w:rsidRPr="0087783B" w:rsidRDefault="006219DA" w:rsidP="000C3E92">
            <w:pPr>
              <w:pStyle w:val="NoSpacing"/>
              <w:jc w:val="center"/>
              <w:rPr>
                <w:rFonts w:ascii="Arial" w:hAnsi="Arial" w:cs="Arial"/>
              </w:rPr>
            </w:pPr>
            <w:r w:rsidRPr="0087783B">
              <w:rPr>
                <w:rFonts w:ascii="Arial" w:hAnsi="Arial" w:cs="Arial"/>
              </w:rPr>
              <w:t>80%</w:t>
            </w:r>
          </w:p>
        </w:tc>
      </w:tr>
    </w:tbl>
    <w:p w14:paraId="0401389A" w14:textId="77777777" w:rsidR="006219DA" w:rsidRDefault="006219DA" w:rsidP="006219DA"/>
    <w:p w14:paraId="3DE51694" w14:textId="77777777" w:rsidR="006219DA" w:rsidRPr="003246D6" w:rsidRDefault="006219DA" w:rsidP="006219DA">
      <w:pPr>
        <w:rPr>
          <w:rFonts w:eastAsia="Arial" w:cs="Arial"/>
          <w:color w:val="000000" w:themeColor="text1"/>
        </w:rPr>
      </w:pPr>
      <w:r w:rsidRPr="003246D6">
        <w:rPr>
          <w:rFonts w:cs="Arial"/>
          <w:b/>
          <w:bCs/>
        </w:rPr>
        <w:t>Children and Families Wellbeing Service</w:t>
      </w:r>
      <w:r w:rsidRPr="003246D6">
        <w:rPr>
          <w:rFonts w:cs="Arial"/>
        </w:rPr>
        <w:t>.</w:t>
      </w:r>
      <w:r w:rsidRPr="003246D6">
        <w:t xml:space="preserve"> </w:t>
      </w:r>
      <w:r w:rsidRPr="003246D6">
        <w:rPr>
          <w:rFonts w:eastAsia="Arial" w:cs="Arial"/>
          <w:color w:val="000000" w:themeColor="text1"/>
        </w:rPr>
        <w:t>Overall performance in Q2 dipped slightly caused by the usual (seasonal) increase in families becoming disengaged or withdrawing consent during August. Encouragingly, during July 71% of families receiving targeted support had their needs fully met, and in September this rose to 74%, demonstrating the positive impact of the practice development workshops being delivered across the service. More in-depth analysis is being undertaken on families who become disengaged in order to fully understand these cases.</w:t>
      </w:r>
    </w:p>
    <w:p w14:paraId="18A0132B" w14:textId="77777777" w:rsidR="006219DA" w:rsidRPr="003246D6" w:rsidRDefault="006219DA" w:rsidP="006219DA">
      <w:pPr>
        <w:spacing w:line="257" w:lineRule="auto"/>
        <w:rPr>
          <w:rFonts w:eastAsia="Arial" w:cs="Arial"/>
          <w:color w:val="000000" w:themeColor="text1"/>
        </w:rPr>
      </w:pPr>
      <w:r w:rsidRPr="003246D6">
        <w:rPr>
          <w:rFonts w:cs="Arial"/>
          <w:b/>
          <w:bCs/>
        </w:rPr>
        <w:t>Looked after children actually living in Lancashire.</w:t>
      </w:r>
      <w:r w:rsidRPr="003246D6">
        <w:rPr>
          <w:rFonts w:cs="Arial"/>
        </w:rPr>
        <w:t xml:space="preserve"> </w:t>
      </w:r>
      <w:r w:rsidRPr="003246D6">
        <w:rPr>
          <w:rFonts w:eastAsia="Arial" w:cs="Arial"/>
          <w:color w:val="000000" w:themeColor="text1"/>
        </w:rPr>
        <w:t xml:space="preserve">This indicator remained above target at the end of </w:t>
      </w:r>
      <w:r>
        <w:rPr>
          <w:rFonts w:eastAsia="Arial" w:cs="Arial"/>
          <w:color w:val="000000" w:themeColor="text1"/>
        </w:rPr>
        <w:t>Q</w:t>
      </w:r>
      <w:r w:rsidRPr="003246D6">
        <w:rPr>
          <w:rFonts w:eastAsia="Arial" w:cs="Arial"/>
          <w:color w:val="000000" w:themeColor="text1"/>
        </w:rPr>
        <w:t xml:space="preserve"> 2 2021/22 (81.7%). Social </w:t>
      </w:r>
      <w:r>
        <w:rPr>
          <w:rFonts w:eastAsia="Arial" w:cs="Arial"/>
          <w:color w:val="000000" w:themeColor="text1"/>
        </w:rPr>
        <w:t>c</w:t>
      </w:r>
      <w:r w:rsidRPr="003246D6">
        <w:rPr>
          <w:rFonts w:eastAsia="Arial" w:cs="Arial"/>
          <w:color w:val="000000" w:themeColor="text1"/>
        </w:rPr>
        <w:t xml:space="preserve">are teams, including fostering and residential teams have worked with commissioning colleagues and with independent </w:t>
      </w:r>
      <w:r w:rsidRPr="003246D6">
        <w:rPr>
          <w:rFonts w:eastAsia="Arial" w:cs="Arial"/>
          <w:color w:val="000000" w:themeColor="text1"/>
        </w:rPr>
        <w:lastRenderedPageBreak/>
        <w:t>fostering and residential providers to ensure children and young people can remain within their communities, where possible, enabling them to continue to access their educational establishments and be close to family and friends where it is safe to do so.</w:t>
      </w:r>
    </w:p>
    <w:p w14:paraId="500C2592" w14:textId="77777777" w:rsidR="006219DA" w:rsidRPr="00766844" w:rsidRDefault="006219DA" w:rsidP="006219DA">
      <w:pPr>
        <w:spacing w:line="257" w:lineRule="auto"/>
        <w:rPr>
          <w:rFonts w:ascii="Calibri" w:eastAsiaTheme="minorEastAsia" w:hAnsi="Calibri" w:cs="Calibri"/>
          <w:color w:val="FF0000"/>
          <w:sz w:val="22"/>
          <w:szCs w:val="22"/>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1261"/>
        <w:gridCol w:w="2294"/>
        <w:gridCol w:w="874"/>
        <w:gridCol w:w="1219"/>
        <w:gridCol w:w="1058"/>
        <w:gridCol w:w="1688"/>
        <w:gridCol w:w="1326"/>
        <w:gridCol w:w="1275"/>
      </w:tblGrid>
      <w:tr w:rsidR="006219DA" w14:paraId="4D373270" w14:textId="77777777" w:rsidTr="000C3E92">
        <w:trPr>
          <w:trHeight w:val="579"/>
        </w:trPr>
        <w:tc>
          <w:tcPr>
            <w:tcW w:w="3180" w:type="dxa"/>
            <w:tcBorders>
              <w:top w:val="single" w:sz="4" w:space="0" w:color="auto"/>
              <w:left w:val="single" w:sz="4" w:space="0" w:color="auto"/>
              <w:bottom w:val="single" w:sz="4" w:space="0" w:color="auto"/>
              <w:right w:val="single" w:sz="4" w:space="0" w:color="auto"/>
            </w:tcBorders>
          </w:tcPr>
          <w:p w14:paraId="7D0A40C8" w14:textId="77777777" w:rsidR="006219DA" w:rsidRPr="00FA30B2" w:rsidRDefault="006219DA" w:rsidP="000C3E92">
            <w:pPr>
              <w:pStyle w:val="NoSpacing"/>
              <w:rPr>
                <w:rFonts w:ascii="Arial" w:hAnsi="Arial" w:cs="Arial"/>
                <w:b/>
              </w:rPr>
            </w:pPr>
            <w:r w:rsidRPr="0047796E">
              <w:rPr>
                <w:rFonts w:ascii="Arial" w:hAnsi="Arial" w:cs="Arial"/>
                <w:b/>
                <w:sz w:val="20"/>
                <w:szCs w:val="20"/>
              </w:rPr>
              <w:t>Performance Indicator</w:t>
            </w:r>
          </w:p>
        </w:tc>
        <w:tc>
          <w:tcPr>
            <w:tcW w:w="1261" w:type="dxa"/>
            <w:tcBorders>
              <w:top w:val="single" w:sz="4" w:space="0" w:color="auto"/>
              <w:left w:val="single" w:sz="4" w:space="0" w:color="auto"/>
              <w:bottom w:val="single" w:sz="4" w:space="0" w:color="auto"/>
              <w:right w:val="single" w:sz="4" w:space="0" w:color="auto"/>
            </w:tcBorders>
          </w:tcPr>
          <w:p w14:paraId="0D642455" w14:textId="77777777" w:rsidR="006219DA" w:rsidRPr="00FA30B2" w:rsidRDefault="006219DA" w:rsidP="000C3E92">
            <w:pPr>
              <w:pStyle w:val="NoSpacing"/>
              <w:rPr>
                <w:rFonts w:ascii="Arial" w:hAnsi="Arial" w:cs="Arial"/>
                <w:b/>
              </w:rPr>
            </w:pPr>
            <w:r w:rsidRPr="0047796E">
              <w:rPr>
                <w:rFonts w:ascii="Arial" w:hAnsi="Arial" w:cs="Arial"/>
                <w:b/>
                <w:sz w:val="20"/>
                <w:szCs w:val="20"/>
              </w:rPr>
              <w:t>Frequency</w:t>
            </w:r>
          </w:p>
        </w:tc>
        <w:tc>
          <w:tcPr>
            <w:tcW w:w="2294" w:type="dxa"/>
            <w:tcBorders>
              <w:top w:val="single" w:sz="4" w:space="0" w:color="auto"/>
              <w:left w:val="single" w:sz="4" w:space="0" w:color="auto"/>
              <w:bottom w:val="single" w:sz="4" w:space="0" w:color="auto"/>
              <w:right w:val="single" w:sz="4" w:space="0" w:color="auto"/>
            </w:tcBorders>
          </w:tcPr>
          <w:p w14:paraId="55D2851A" w14:textId="77777777" w:rsidR="006219DA" w:rsidRPr="00FA30B2" w:rsidRDefault="006219DA" w:rsidP="000C3E92">
            <w:pPr>
              <w:pStyle w:val="NoSpacing"/>
              <w:rPr>
                <w:rFonts w:ascii="Arial" w:hAnsi="Arial" w:cs="Arial"/>
                <w:b/>
              </w:rPr>
            </w:pPr>
            <w:r w:rsidRPr="0047796E">
              <w:rPr>
                <w:rFonts w:ascii="Arial" w:hAnsi="Arial" w:cs="Arial"/>
                <w:b/>
                <w:sz w:val="20"/>
                <w:szCs w:val="20"/>
              </w:rPr>
              <w:t xml:space="preserve">Directorate </w:t>
            </w:r>
          </w:p>
        </w:tc>
        <w:tc>
          <w:tcPr>
            <w:tcW w:w="874" w:type="dxa"/>
            <w:tcBorders>
              <w:top w:val="single" w:sz="4" w:space="0" w:color="auto"/>
              <w:left w:val="single" w:sz="4" w:space="0" w:color="auto"/>
              <w:bottom w:val="single" w:sz="4" w:space="0" w:color="auto"/>
              <w:right w:val="single" w:sz="4" w:space="0" w:color="auto"/>
            </w:tcBorders>
          </w:tcPr>
          <w:p w14:paraId="08492771" w14:textId="77777777" w:rsidR="006219DA" w:rsidRDefault="006219DA" w:rsidP="000C3E92">
            <w:pPr>
              <w:pStyle w:val="NoSpacing"/>
              <w:rPr>
                <w:rFonts w:ascii="Arial" w:hAnsi="Arial" w:cs="Arial"/>
                <w:b/>
              </w:rPr>
            </w:pPr>
            <w:r w:rsidRPr="0047796E">
              <w:rPr>
                <w:rFonts w:ascii="Arial" w:hAnsi="Arial" w:cs="Arial"/>
                <w:b/>
                <w:sz w:val="20"/>
                <w:szCs w:val="20"/>
              </w:rPr>
              <w:t>Good is</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797ACA3A" w14:textId="77777777" w:rsidR="006219DA" w:rsidRDefault="006219DA" w:rsidP="000C3E92">
            <w:pPr>
              <w:pStyle w:val="NoSpacing"/>
              <w:jc w:val="center"/>
              <w:rPr>
                <w:rFonts w:ascii="Arial" w:hAnsi="Arial" w:cs="Arial"/>
                <w:b/>
                <w:bCs/>
              </w:rPr>
            </w:pPr>
            <w:r w:rsidRPr="62385CB5">
              <w:rPr>
                <w:rFonts w:ascii="Arial" w:hAnsi="Arial" w:cs="Arial"/>
                <w:b/>
                <w:bCs/>
                <w:sz w:val="20"/>
                <w:szCs w:val="20"/>
              </w:rPr>
              <w:t>2019/20 Outturn</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6AD0B67" w14:textId="77777777" w:rsidR="006219DA" w:rsidRDefault="006219DA" w:rsidP="000C3E92">
            <w:pPr>
              <w:pStyle w:val="NoSpacing"/>
              <w:jc w:val="center"/>
              <w:rPr>
                <w:rFonts w:ascii="Arial" w:hAnsi="Arial" w:cs="Arial"/>
                <w:b/>
                <w:bCs/>
                <w:sz w:val="20"/>
                <w:szCs w:val="20"/>
              </w:rPr>
            </w:pPr>
            <w:r w:rsidRPr="62385CB5">
              <w:rPr>
                <w:rFonts w:ascii="Arial" w:hAnsi="Arial" w:cs="Arial"/>
                <w:b/>
                <w:bCs/>
                <w:sz w:val="20"/>
                <w:szCs w:val="20"/>
              </w:rPr>
              <w:t>2020/21 Outturn</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679B63D4" w14:textId="77777777" w:rsidR="006219DA" w:rsidRDefault="006219DA" w:rsidP="000C3E92">
            <w:pPr>
              <w:pStyle w:val="NoSpacing"/>
              <w:jc w:val="center"/>
              <w:rPr>
                <w:rFonts w:ascii="Arial" w:hAnsi="Arial" w:cs="Arial"/>
                <w:b/>
                <w:bCs/>
                <w:sz w:val="20"/>
                <w:szCs w:val="20"/>
              </w:rPr>
            </w:pPr>
            <w:r w:rsidRPr="62385CB5">
              <w:rPr>
                <w:rFonts w:ascii="Arial" w:hAnsi="Arial" w:cs="Arial"/>
                <w:b/>
                <w:bCs/>
                <w:sz w:val="20"/>
                <w:szCs w:val="20"/>
              </w:rPr>
              <w:t xml:space="preserve">2021/22   Quarter 1 </w:t>
            </w:r>
            <w:r w:rsidRPr="62385CB5">
              <w:rPr>
                <w:rFonts w:ascii="Arial" w:hAnsi="Arial" w:cs="Arial"/>
                <w:b/>
                <w:bCs/>
                <w:sz w:val="18"/>
                <w:szCs w:val="18"/>
              </w:rPr>
              <w:t>(April- June)</w:t>
            </w:r>
          </w:p>
          <w:p w14:paraId="4F51AE21" w14:textId="77777777" w:rsidR="006219DA" w:rsidRDefault="006219DA" w:rsidP="000C3E92">
            <w:pPr>
              <w:pStyle w:val="NoSpacing"/>
              <w:jc w:val="center"/>
              <w:rPr>
                <w:b/>
                <w:bCs/>
                <w:sz w:val="20"/>
                <w:szCs w:val="20"/>
              </w:rPr>
            </w:pPr>
          </w:p>
        </w:tc>
        <w:tc>
          <w:tcPr>
            <w:tcW w:w="1326" w:type="dxa"/>
            <w:tcBorders>
              <w:top w:val="single" w:sz="4" w:space="0" w:color="auto"/>
              <w:left w:val="single" w:sz="4" w:space="0" w:color="auto"/>
              <w:bottom w:val="single" w:sz="4" w:space="0" w:color="auto"/>
              <w:right w:val="single" w:sz="4" w:space="0" w:color="auto"/>
            </w:tcBorders>
          </w:tcPr>
          <w:p w14:paraId="0B921A55" w14:textId="77777777" w:rsidR="006219DA" w:rsidRDefault="006219DA" w:rsidP="000C3E92">
            <w:pPr>
              <w:pStyle w:val="NoSpacing"/>
              <w:jc w:val="center"/>
              <w:rPr>
                <w:rFonts w:ascii="Arial" w:hAnsi="Arial" w:cs="Arial"/>
                <w:b/>
                <w:bCs/>
                <w:sz w:val="20"/>
                <w:szCs w:val="20"/>
              </w:rPr>
            </w:pPr>
            <w:r>
              <w:rPr>
                <w:rFonts w:ascii="Arial" w:hAnsi="Arial" w:cs="Arial"/>
                <w:b/>
                <w:bCs/>
                <w:sz w:val="20"/>
                <w:szCs w:val="20"/>
              </w:rPr>
              <w:t>2021/22</w:t>
            </w:r>
          </w:p>
          <w:p w14:paraId="7F08E965" w14:textId="77777777" w:rsidR="006219DA" w:rsidRDefault="006219DA" w:rsidP="000C3E92">
            <w:pPr>
              <w:pStyle w:val="NoSpacing"/>
              <w:jc w:val="center"/>
              <w:rPr>
                <w:rFonts w:ascii="Arial" w:hAnsi="Arial" w:cs="Arial"/>
                <w:b/>
                <w:bCs/>
                <w:sz w:val="20"/>
                <w:szCs w:val="20"/>
              </w:rPr>
            </w:pPr>
            <w:r>
              <w:rPr>
                <w:rFonts w:ascii="Arial" w:hAnsi="Arial" w:cs="Arial"/>
                <w:b/>
                <w:bCs/>
                <w:sz w:val="20"/>
                <w:szCs w:val="20"/>
              </w:rPr>
              <w:t>Quarter 2</w:t>
            </w:r>
          </w:p>
          <w:p w14:paraId="13EEC294" w14:textId="77777777" w:rsidR="006219DA" w:rsidRPr="62385CB5" w:rsidRDefault="006219DA" w:rsidP="000C3E92">
            <w:pPr>
              <w:pStyle w:val="NoSpacing"/>
              <w:jc w:val="center"/>
              <w:rPr>
                <w:rFonts w:ascii="Arial" w:hAnsi="Arial" w:cs="Arial"/>
                <w:b/>
                <w:bCs/>
                <w:sz w:val="20"/>
                <w:szCs w:val="20"/>
              </w:rPr>
            </w:pPr>
            <w:r w:rsidRPr="00254A8C">
              <w:rPr>
                <w:rFonts w:ascii="Arial" w:hAnsi="Arial" w:cs="Arial"/>
                <w:b/>
                <w:bCs/>
                <w:sz w:val="18"/>
                <w:szCs w:val="18"/>
              </w:rPr>
              <w:t>(July – Sep)</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9AB570C" w14:textId="77777777" w:rsidR="006219DA" w:rsidRDefault="006219DA" w:rsidP="000C3E92">
            <w:pPr>
              <w:pStyle w:val="NoSpacing"/>
              <w:jc w:val="center"/>
              <w:rPr>
                <w:rFonts w:ascii="Arial" w:hAnsi="Arial" w:cs="Arial"/>
                <w:b/>
                <w:bCs/>
              </w:rPr>
            </w:pPr>
            <w:r w:rsidRPr="62385CB5">
              <w:rPr>
                <w:rFonts w:ascii="Arial" w:hAnsi="Arial" w:cs="Arial"/>
                <w:b/>
                <w:bCs/>
                <w:sz w:val="20"/>
                <w:szCs w:val="20"/>
              </w:rPr>
              <w:t>2021/22 Target</w:t>
            </w:r>
          </w:p>
        </w:tc>
      </w:tr>
      <w:tr w:rsidR="006219DA" w14:paraId="26193C2A" w14:textId="77777777" w:rsidTr="000C3E92">
        <w:trPr>
          <w:trHeight w:val="1095"/>
        </w:trPr>
        <w:tc>
          <w:tcPr>
            <w:tcW w:w="3180" w:type="dxa"/>
            <w:tcBorders>
              <w:top w:val="single" w:sz="4" w:space="0" w:color="auto"/>
              <w:left w:val="single" w:sz="4" w:space="0" w:color="auto"/>
              <w:bottom w:val="single" w:sz="4" w:space="0" w:color="auto"/>
              <w:right w:val="single" w:sz="4" w:space="0" w:color="auto"/>
            </w:tcBorders>
            <w:hideMark/>
          </w:tcPr>
          <w:p w14:paraId="5996CCAD" w14:textId="77777777" w:rsidR="006219DA" w:rsidRPr="00CA768A" w:rsidRDefault="006219DA" w:rsidP="000C3E92">
            <w:pPr>
              <w:pStyle w:val="NoSpacing"/>
              <w:rPr>
                <w:rFonts w:ascii="Arial" w:hAnsi="Arial" w:cs="Arial"/>
              </w:rPr>
            </w:pPr>
            <w:r w:rsidRPr="00CA768A">
              <w:rPr>
                <w:rFonts w:ascii="Arial" w:hAnsi="Arial" w:cs="Arial"/>
              </w:rPr>
              <w:t>Percentage of adults and older people whose desired safeguarding outcomes are fully met</w:t>
            </w:r>
          </w:p>
        </w:tc>
        <w:tc>
          <w:tcPr>
            <w:tcW w:w="1261" w:type="dxa"/>
            <w:tcBorders>
              <w:top w:val="single" w:sz="4" w:space="0" w:color="auto"/>
              <w:left w:val="single" w:sz="4" w:space="0" w:color="auto"/>
              <w:bottom w:val="single" w:sz="4" w:space="0" w:color="auto"/>
              <w:right w:val="single" w:sz="4" w:space="0" w:color="auto"/>
            </w:tcBorders>
            <w:hideMark/>
          </w:tcPr>
          <w:p w14:paraId="0936E876" w14:textId="77777777" w:rsidR="006219DA" w:rsidRPr="00CA768A" w:rsidRDefault="006219DA" w:rsidP="000C3E92">
            <w:pPr>
              <w:pStyle w:val="NoSpacing"/>
              <w:rPr>
                <w:rFonts w:ascii="Arial" w:hAnsi="Arial" w:cs="Arial"/>
                <w:i/>
              </w:rPr>
            </w:pPr>
            <w:r w:rsidRPr="00CA768A">
              <w:rPr>
                <w:rFonts w:ascii="Arial" w:hAnsi="Arial" w:cs="Arial"/>
              </w:rPr>
              <w:t>Quarterly</w:t>
            </w:r>
          </w:p>
        </w:tc>
        <w:tc>
          <w:tcPr>
            <w:tcW w:w="2294" w:type="dxa"/>
            <w:tcBorders>
              <w:top w:val="single" w:sz="4" w:space="0" w:color="auto"/>
              <w:left w:val="single" w:sz="4" w:space="0" w:color="auto"/>
              <w:bottom w:val="single" w:sz="4" w:space="0" w:color="auto"/>
              <w:right w:val="single" w:sz="4" w:space="0" w:color="auto"/>
            </w:tcBorders>
          </w:tcPr>
          <w:p w14:paraId="1A80A1A7" w14:textId="77777777" w:rsidR="006219DA" w:rsidRPr="00CA768A" w:rsidRDefault="006219DA" w:rsidP="000C3E92">
            <w:pPr>
              <w:pStyle w:val="NoSpacing"/>
              <w:rPr>
                <w:rFonts w:ascii="Arial" w:hAnsi="Arial" w:cs="Arial"/>
              </w:rPr>
            </w:pPr>
            <w:r w:rsidRPr="00CA768A">
              <w:rPr>
                <w:rFonts w:ascii="Arial" w:hAnsi="Arial" w:cs="Arial"/>
              </w:rPr>
              <w:t>Adults Services and Health and Wellbeing</w:t>
            </w:r>
          </w:p>
        </w:tc>
        <w:tc>
          <w:tcPr>
            <w:tcW w:w="874" w:type="dxa"/>
            <w:tcBorders>
              <w:top w:val="single" w:sz="4" w:space="0" w:color="auto"/>
              <w:left w:val="single" w:sz="4" w:space="0" w:color="auto"/>
              <w:bottom w:val="single" w:sz="4" w:space="0" w:color="auto"/>
              <w:right w:val="single" w:sz="4" w:space="0" w:color="auto"/>
            </w:tcBorders>
          </w:tcPr>
          <w:p w14:paraId="53C652A4" w14:textId="77777777" w:rsidR="006219DA" w:rsidRPr="00CA768A" w:rsidRDefault="006219DA" w:rsidP="000C3E92">
            <w:pPr>
              <w:pStyle w:val="NoSpacing"/>
              <w:rPr>
                <w:rFonts w:ascii="Arial" w:hAnsi="Arial" w:cs="Arial"/>
              </w:rPr>
            </w:pPr>
            <w:r w:rsidRPr="00CA768A">
              <w:rPr>
                <w:rFonts w:ascii="Arial" w:hAnsi="Arial" w:cs="Arial"/>
              </w:rPr>
              <w:t>High</w:t>
            </w:r>
          </w:p>
        </w:tc>
        <w:tc>
          <w:tcPr>
            <w:tcW w:w="121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5D48A6" w14:textId="77777777" w:rsidR="006219DA" w:rsidRPr="00CA768A" w:rsidRDefault="006219DA" w:rsidP="000C3E92">
            <w:pPr>
              <w:pStyle w:val="NoSpacing"/>
              <w:rPr>
                <w:rFonts w:ascii="Arial" w:hAnsi="Arial" w:cs="Arial"/>
              </w:rPr>
            </w:pPr>
            <w:r w:rsidRPr="00CA768A">
              <w:rPr>
                <w:rFonts w:ascii="Arial" w:hAnsi="Arial" w:cs="Arial"/>
              </w:rPr>
              <w:t>63.0%</w:t>
            </w:r>
          </w:p>
        </w:tc>
        <w:tc>
          <w:tcPr>
            <w:tcW w:w="105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7B8F7CC" w14:textId="77777777" w:rsidR="006219DA" w:rsidRDefault="006219DA" w:rsidP="000C3E92">
            <w:pPr>
              <w:pStyle w:val="NoSpacing"/>
              <w:rPr>
                <w:rFonts w:ascii="Arial" w:hAnsi="Arial" w:cs="Arial"/>
              </w:rPr>
            </w:pPr>
            <w:r w:rsidRPr="62385CB5">
              <w:rPr>
                <w:rFonts w:ascii="Arial" w:hAnsi="Arial" w:cs="Arial"/>
              </w:rPr>
              <w:t>65.4%</w:t>
            </w:r>
          </w:p>
          <w:p w14:paraId="3E0731BD" w14:textId="77777777" w:rsidR="006219DA" w:rsidRDefault="006219DA" w:rsidP="000C3E92">
            <w:pPr>
              <w:pStyle w:val="NoSpacing"/>
            </w:pPr>
          </w:p>
        </w:tc>
        <w:tc>
          <w:tcPr>
            <w:tcW w:w="168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0BF754" w14:textId="77777777" w:rsidR="006219DA" w:rsidRDefault="006219DA" w:rsidP="000C3E92">
            <w:pPr>
              <w:pStyle w:val="NoSpacing"/>
              <w:rPr>
                <w:rFonts w:ascii="Arial" w:hAnsi="Arial" w:cs="Arial"/>
              </w:rPr>
            </w:pPr>
            <w:r w:rsidRPr="62385CB5">
              <w:rPr>
                <w:rFonts w:ascii="Arial" w:hAnsi="Arial" w:cs="Arial"/>
              </w:rPr>
              <w:t>65.9%</w:t>
            </w:r>
          </w:p>
          <w:p w14:paraId="271C18ED" w14:textId="77777777" w:rsidR="006219DA" w:rsidRDefault="006219DA" w:rsidP="000C3E92">
            <w:pPr>
              <w:pStyle w:val="NoSpacing"/>
            </w:pPr>
          </w:p>
        </w:tc>
        <w:tc>
          <w:tcPr>
            <w:tcW w:w="13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F4F38B" w14:textId="77777777" w:rsidR="006219DA" w:rsidRPr="62385CB5" w:rsidRDefault="006219DA" w:rsidP="000C3E92">
            <w:pPr>
              <w:pStyle w:val="NoSpacing"/>
              <w:rPr>
                <w:rFonts w:ascii="Arial" w:hAnsi="Arial" w:cs="Arial"/>
              </w:rPr>
            </w:pPr>
            <w:r>
              <w:rPr>
                <w:rFonts w:ascii="Arial" w:hAnsi="Arial" w:cs="Arial"/>
              </w:rPr>
              <w:t>66.9%</w:t>
            </w:r>
          </w:p>
        </w:tc>
        <w:tc>
          <w:tcPr>
            <w:tcW w:w="1275" w:type="dxa"/>
            <w:tcBorders>
              <w:top w:val="single" w:sz="4" w:space="0" w:color="auto"/>
              <w:left w:val="single" w:sz="4" w:space="0" w:color="auto"/>
              <w:bottom w:val="single" w:sz="4" w:space="0" w:color="auto"/>
              <w:right w:val="single" w:sz="4" w:space="0" w:color="auto"/>
            </w:tcBorders>
          </w:tcPr>
          <w:p w14:paraId="7F300537" w14:textId="77777777" w:rsidR="006219DA" w:rsidRDefault="006219DA" w:rsidP="000C3E92">
            <w:pPr>
              <w:pStyle w:val="NoSpacing"/>
              <w:rPr>
                <w:rFonts w:ascii="Arial" w:hAnsi="Arial" w:cs="Arial"/>
              </w:rPr>
            </w:pPr>
            <w:r w:rsidRPr="62385CB5">
              <w:rPr>
                <w:rFonts w:ascii="Arial" w:hAnsi="Arial" w:cs="Arial"/>
              </w:rPr>
              <w:t>70.0%</w:t>
            </w:r>
          </w:p>
          <w:p w14:paraId="70451A92" w14:textId="77777777" w:rsidR="006219DA" w:rsidRDefault="006219DA" w:rsidP="000C3E92">
            <w:pPr>
              <w:pStyle w:val="NoSpacing"/>
            </w:pPr>
          </w:p>
        </w:tc>
      </w:tr>
      <w:tr w:rsidR="006219DA" w14:paraId="29D8DBDB" w14:textId="77777777" w:rsidTr="000C3E92">
        <w:trPr>
          <w:trHeight w:val="1620"/>
        </w:trPr>
        <w:tc>
          <w:tcPr>
            <w:tcW w:w="3180" w:type="dxa"/>
            <w:tcBorders>
              <w:top w:val="single" w:sz="4" w:space="0" w:color="auto"/>
              <w:left w:val="single" w:sz="4" w:space="0" w:color="auto"/>
              <w:bottom w:val="single" w:sz="4" w:space="0" w:color="auto"/>
              <w:right w:val="single" w:sz="4" w:space="0" w:color="auto"/>
            </w:tcBorders>
          </w:tcPr>
          <w:p w14:paraId="3125EB1B" w14:textId="77777777" w:rsidR="006219DA" w:rsidRPr="00CA768A" w:rsidRDefault="006219DA" w:rsidP="000C3E92">
            <w:pPr>
              <w:pStyle w:val="NoSpacing"/>
              <w:rPr>
                <w:rFonts w:ascii="Arial" w:hAnsi="Arial" w:cs="Arial"/>
              </w:rPr>
            </w:pPr>
            <w:r w:rsidRPr="78C3123E">
              <w:rPr>
                <w:rFonts w:ascii="Arial" w:hAnsi="Arial" w:cs="Arial"/>
              </w:rPr>
              <w:t xml:space="preserve">Percentage of Care Homes in Lancashire rated as Good or Outstanding – all Care Home provision </w:t>
            </w:r>
          </w:p>
          <w:p w14:paraId="16B9281A" w14:textId="77777777" w:rsidR="006219DA" w:rsidRPr="00CA768A" w:rsidRDefault="006219DA" w:rsidP="000C3E92">
            <w:pPr>
              <w:pStyle w:val="NoSpacing"/>
              <w:rPr>
                <w:rFonts w:ascii="Arial" w:hAnsi="Arial" w:cs="Arial"/>
              </w:rPr>
            </w:pPr>
            <w:r w:rsidRPr="00CA768A">
              <w:rPr>
                <w:rFonts w:ascii="Arial" w:hAnsi="Arial" w:cs="Arial"/>
              </w:rPr>
              <w:t>(LCC and non-LCC maintained)</w:t>
            </w:r>
          </w:p>
        </w:tc>
        <w:tc>
          <w:tcPr>
            <w:tcW w:w="1261" w:type="dxa"/>
            <w:tcBorders>
              <w:top w:val="single" w:sz="4" w:space="0" w:color="auto"/>
              <w:left w:val="single" w:sz="4" w:space="0" w:color="auto"/>
              <w:bottom w:val="single" w:sz="4" w:space="0" w:color="auto"/>
              <w:right w:val="single" w:sz="4" w:space="0" w:color="auto"/>
            </w:tcBorders>
          </w:tcPr>
          <w:p w14:paraId="58443740" w14:textId="77777777" w:rsidR="006219DA" w:rsidRPr="00CA768A" w:rsidRDefault="006219DA" w:rsidP="000C3E92">
            <w:pPr>
              <w:pStyle w:val="NoSpacing"/>
              <w:rPr>
                <w:rFonts w:ascii="Arial" w:hAnsi="Arial" w:cs="Arial"/>
              </w:rPr>
            </w:pPr>
            <w:r w:rsidRPr="00CA768A">
              <w:rPr>
                <w:rFonts w:ascii="Arial" w:hAnsi="Arial" w:cs="Arial"/>
              </w:rPr>
              <w:t>Quarterly</w:t>
            </w:r>
          </w:p>
        </w:tc>
        <w:tc>
          <w:tcPr>
            <w:tcW w:w="2294" w:type="dxa"/>
            <w:tcBorders>
              <w:top w:val="single" w:sz="4" w:space="0" w:color="auto"/>
              <w:left w:val="single" w:sz="4" w:space="0" w:color="auto"/>
              <w:bottom w:val="single" w:sz="4" w:space="0" w:color="auto"/>
              <w:right w:val="single" w:sz="4" w:space="0" w:color="auto"/>
            </w:tcBorders>
          </w:tcPr>
          <w:p w14:paraId="4C0868DE" w14:textId="77777777" w:rsidR="006219DA" w:rsidRPr="00CA768A" w:rsidRDefault="006219DA" w:rsidP="000C3E92">
            <w:pPr>
              <w:pStyle w:val="NoSpacing"/>
              <w:rPr>
                <w:rFonts w:ascii="Arial" w:hAnsi="Arial" w:cs="Arial"/>
              </w:rPr>
            </w:pPr>
            <w:r w:rsidRPr="00CA768A">
              <w:rPr>
                <w:rFonts w:ascii="Arial" w:hAnsi="Arial" w:cs="Arial"/>
              </w:rPr>
              <w:t>Adults Services and Health and Wellbeing</w:t>
            </w:r>
          </w:p>
        </w:tc>
        <w:tc>
          <w:tcPr>
            <w:tcW w:w="874" w:type="dxa"/>
            <w:tcBorders>
              <w:top w:val="single" w:sz="4" w:space="0" w:color="auto"/>
              <w:left w:val="single" w:sz="4" w:space="0" w:color="auto"/>
              <w:bottom w:val="single" w:sz="4" w:space="0" w:color="auto"/>
              <w:right w:val="single" w:sz="4" w:space="0" w:color="auto"/>
            </w:tcBorders>
          </w:tcPr>
          <w:p w14:paraId="79ABE596" w14:textId="77777777" w:rsidR="006219DA" w:rsidRPr="00CA768A" w:rsidRDefault="006219DA" w:rsidP="000C3E92">
            <w:pPr>
              <w:pStyle w:val="NoSpacing"/>
              <w:rPr>
                <w:rFonts w:ascii="Arial" w:hAnsi="Arial" w:cs="Arial"/>
              </w:rPr>
            </w:pPr>
            <w:r w:rsidRPr="00CA768A">
              <w:rPr>
                <w:rFonts w:ascii="Arial" w:hAnsi="Arial" w:cs="Arial"/>
              </w:rPr>
              <w:t>High</w:t>
            </w:r>
          </w:p>
        </w:tc>
        <w:tc>
          <w:tcPr>
            <w:tcW w:w="121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2939CA2" w14:textId="77777777" w:rsidR="006219DA" w:rsidRPr="00CA768A" w:rsidRDefault="006219DA" w:rsidP="000C3E92">
            <w:pPr>
              <w:pStyle w:val="NoSpacing"/>
              <w:rPr>
                <w:rFonts w:ascii="Arial" w:hAnsi="Arial" w:cs="Arial"/>
              </w:rPr>
            </w:pPr>
            <w:r w:rsidRPr="00CA768A">
              <w:rPr>
                <w:rFonts w:ascii="Arial" w:hAnsi="Arial" w:cs="Arial"/>
              </w:rPr>
              <w:t>84.8%</w:t>
            </w:r>
          </w:p>
        </w:tc>
        <w:tc>
          <w:tcPr>
            <w:tcW w:w="10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ECD77C" w14:textId="77777777" w:rsidR="006219DA" w:rsidRDefault="006219DA" w:rsidP="000C3E92">
            <w:pPr>
              <w:pStyle w:val="NoSpacing"/>
              <w:rPr>
                <w:rFonts w:ascii="Arial" w:hAnsi="Arial" w:cs="Arial"/>
              </w:rPr>
            </w:pPr>
            <w:r w:rsidRPr="62385CB5">
              <w:rPr>
                <w:rFonts w:ascii="Arial" w:hAnsi="Arial" w:cs="Arial"/>
              </w:rPr>
              <w:t>83.9%</w:t>
            </w:r>
          </w:p>
          <w:p w14:paraId="3013615A" w14:textId="77777777" w:rsidR="006219DA" w:rsidRDefault="006219DA" w:rsidP="000C3E92">
            <w:pPr>
              <w:pStyle w:val="NoSpacing"/>
            </w:pPr>
          </w:p>
        </w:tc>
        <w:tc>
          <w:tcPr>
            <w:tcW w:w="168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28A8119" w14:textId="77777777" w:rsidR="006219DA" w:rsidRDefault="006219DA" w:rsidP="000C3E92">
            <w:pPr>
              <w:pStyle w:val="NoSpacing"/>
              <w:rPr>
                <w:rFonts w:ascii="Arial" w:hAnsi="Arial" w:cs="Arial"/>
              </w:rPr>
            </w:pPr>
            <w:r w:rsidRPr="78C3123E">
              <w:rPr>
                <w:rFonts w:ascii="Arial" w:hAnsi="Arial" w:cs="Arial"/>
              </w:rPr>
              <w:t>81.8%</w:t>
            </w:r>
          </w:p>
          <w:p w14:paraId="4687A041" w14:textId="77777777" w:rsidR="006219DA" w:rsidRDefault="006219DA" w:rsidP="000C3E92">
            <w:pPr>
              <w:pStyle w:val="NoSpacing"/>
            </w:pPr>
          </w:p>
        </w:tc>
        <w:tc>
          <w:tcPr>
            <w:tcW w:w="132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1BC756" w14:textId="77777777" w:rsidR="006219DA" w:rsidRPr="62385CB5" w:rsidRDefault="006219DA" w:rsidP="000C3E92">
            <w:pPr>
              <w:pStyle w:val="NoSpacing"/>
              <w:rPr>
                <w:rFonts w:ascii="Arial" w:hAnsi="Arial" w:cs="Arial"/>
              </w:rPr>
            </w:pPr>
            <w:r>
              <w:rPr>
                <w:rFonts w:ascii="Arial" w:hAnsi="Arial" w:cs="Arial"/>
              </w:rPr>
              <w:t>80.1%</w:t>
            </w:r>
          </w:p>
        </w:tc>
        <w:tc>
          <w:tcPr>
            <w:tcW w:w="1275" w:type="dxa"/>
            <w:tcBorders>
              <w:top w:val="single" w:sz="4" w:space="0" w:color="auto"/>
              <w:left w:val="single" w:sz="4" w:space="0" w:color="auto"/>
              <w:bottom w:val="single" w:sz="4" w:space="0" w:color="auto"/>
              <w:right w:val="single" w:sz="4" w:space="0" w:color="auto"/>
            </w:tcBorders>
          </w:tcPr>
          <w:p w14:paraId="30BB1366" w14:textId="77777777" w:rsidR="006219DA" w:rsidRDefault="006219DA" w:rsidP="000C3E92">
            <w:pPr>
              <w:pStyle w:val="NoSpacing"/>
              <w:rPr>
                <w:rFonts w:ascii="Arial" w:hAnsi="Arial" w:cs="Arial"/>
              </w:rPr>
            </w:pPr>
            <w:r w:rsidRPr="62385CB5">
              <w:rPr>
                <w:rFonts w:ascii="Arial" w:hAnsi="Arial" w:cs="Arial"/>
              </w:rPr>
              <w:t>83.5%</w:t>
            </w:r>
          </w:p>
          <w:p w14:paraId="13E3EBC7" w14:textId="77777777" w:rsidR="006219DA" w:rsidRDefault="006219DA" w:rsidP="000C3E92">
            <w:pPr>
              <w:pStyle w:val="NoSpacing"/>
            </w:pPr>
          </w:p>
        </w:tc>
      </w:tr>
      <w:tr w:rsidR="006219DA" w14:paraId="35D46FE0" w14:textId="77777777" w:rsidTr="000C3E92">
        <w:trPr>
          <w:trHeight w:val="1572"/>
        </w:trPr>
        <w:tc>
          <w:tcPr>
            <w:tcW w:w="3180" w:type="dxa"/>
            <w:tcBorders>
              <w:top w:val="single" w:sz="4" w:space="0" w:color="auto"/>
              <w:left w:val="single" w:sz="4" w:space="0" w:color="auto"/>
              <w:bottom w:val="single" w:sz="4" w:space="0" w:color="auto"/>
              <w:right w:val="single" w:sz="4" w:space="0" w:color="auto"/>
            </w:tcBorders>
          </w:tcPr>
          <w:p w14:paraId="7F771AA0" w14:textId="77777777" w:rsidR="006219DA" w:rsidRPr="00CA768A" w:rsidRDefault="006219DA" w:rsidP="000C3E92">
            <w:pPr>
              <w:pStyle w:val="NoSpacing"/>
              <w:rPr>
                <w:rFonts w:ascii="Arial" w:hAnsi="Arial" w:cs="Arial"/>
              </w:rPr>
            </w:pPr>
            <w:r w:rsidRPr="00CA768A">
              <w:rPr>
                <w:rFonts w:ascii="Arial" w:hAnsi="Arial" w:cs="Arial"/>
              </w:rPr>
              <w:t xml:space="preserve">Percentage </w:t>
            </w:r>
            <w:r>
              <w:rPr>
                <w:rFonts w:ascii="Arial" w:hAnsi="Arial" w:cs="Arial"/>
              </w:rPr>
              <w:t xml:space="preserve">of </w:t>
            </w:r>
            <w:r w:rsidRPr="00CA768A">
              <w:rPr>
                <w:rFonts w:ascii="Arial" w:hAnsi="Arial" w:cs="Arial"/>
              </w:rPr>
              <w:t>care providers in the community rated as Good or Outstanding - all Community Based provision</w:t>
            </w:r>
          </w:p>
          <w:p w14:paraId="17456390" w14:textId="77777777" w:rsidR="006219DA" w:rsidRPr="00CA768A" w:rsidRDefault="006219DA" w:rsidP="000C3E92">
            <w:pPr>
              <w:pStyle w:val="NoSpacing"/>
              <w:rPr>
                <w:rFonts w:ascii="Arial" w:hAnsi="Arial" w:cs="Arial"/>
              </w:rPr>
            </w:pPr>
            <w:r w:rsidRPr="00CA768A">
              <w:rPr>
                <w:rFonts w:ascii="Arial" w:hAnsi="Arial" w:cs="Arial"/>
              </w:rPr>
              <w:t>(LCC and non-LCC maintained)</w:t>
            </w:r>
          </w:p>
        </w:tc>
        <w:tc>
          <w:tcPr>
            <w:tcW w:w="1261" w:type="dxa"/>
            <w:tcBorders>
              <w:top w:val="single" w:sz="4" w:space="0" w:color="auto"/>
              <w:left w:val="single" w:sz="4" w:space="0" w:color="auto"/>
              <w:bottom w:val="single" w:sz="4" w:space="0" w:color="auto"/>
              <w:right w:val="single" w:sz="4" w:space="0" w:color="auto"/>
            </w:tcBorders>
          </w:tcPr>
          <w:p w14:paraId="5C095378" w14:textId="77777777" w:rsidR="006219DA" w:rsidRPr="00CA768A" w:rsidRDefault="006219DA" w:rsidP="000C3E92">
            <w:pPr>
              <w:pStyle w:val="NoSpacing"/>
              <w:rPr>
                <w:rFonts w:ascii="Arial" w:hAnsi="Arial" w:cs="Arial"/>
              </w:rPr>
            </w:pPr>
            <w:r w:rsidRPr="00CA768A">
              <w:rPr>
                <w:rFonts w:ascii="Arial" w:hAnsi="Arial" w:cs="Arial"/>
              </w:rPr>
              <w:t>Quarterly</w:t>
            </w:r>
          </w:p>
        </w:tc>
        <w:tc>
          <w:tcPr>
            <w:tcW w:w="2294" w:type="dxa"/>
            <w:tcBorders>
              <w:top w:val="single" w:sz="4" w:space="0" w:color="auto"/>
              <w:left w:val="single" w:sz="4" w:space="0" w:color="auto"/>
              <w:bottom w:val="single" w:sz="4" w:space="0" w:color="auto"/>
              <w:right w:val="single" w:sz="4" w:space="0" w:color="auto"/>
            </w:tcBorders>
          </w:tcPr>
          <w:p w14:paraId="6CD3F95C" w14:textId="77777777" w:rsidR="006219DA" w:rsidRPr="00CA768A" w:rsidRDefault="006219DA" w:rsidP="000C3E92">
            <w:pPr>
              <w:pStyle w:val="NoSpacing"/>
              <w:rPr>
                <w:rFonts w:ascii="Arial" w:hAnsi="Arial" w:cs="Arial"/>
              </w:rPr>
            </w:pPr>
            <w:r w:rsidRPr="00CA768A">
              <w:rPr>
                <w:rFonts w:ascii="Arial" w:hAnsi="Arial" w:cs="Arial"/>
              </w:rPr>
              <w:t>Adults Services and Health and Wellbeing</w:t>
            </w:r>
          </w:p>
        </w:tc>
        <w:tc>
          <w:tcPr>
            <w:tcW w:w="874" w:type="dxa"/>
            <w:tcBorders>
              <w:top w:val="single" w:sz="4" w:space="0" w:color="auto"/>
              <w:left w:val="single" w:sz="4" w:space="0" w:color="auto"/>
              <w:bottom w:val="single" w:sz="4" w:space="0" w:color="auto"/>
              <w:right w:val="single" w:sz="4" w:space="0" w:color="auto"/>
            </w:tcBorders>
          </w:tcPr>
          <w:p w14:paraId="1B12254D" w14:textId="77777777" w:rsidR="006219DA" w:rsidRPr="00CA768A" w:rsidRDefault="006219DA" w:rsidP="000C3E92">
            <w:pPr>
              <w:pStyle w:val="NoSpacing"/>
              <w:rPr>
                <w:rFonts w:ascii="Arial" w:hAnsi="Arial" w:cs="Arial"/>
              </w:rPr>
            </w:pPr>
            <w:r w:rsidRPr="00CA768A">
              <w:rPr>
                <w:rFonts w:ascii="Arial" w:hAnsi="Arial" w:cs="Arial"/>
              </w:rPr>
              <w:t>High</w:t>
            </w:r>
          </w:p>
        </w:tc>
        <w:tc>
          <w:tcPr>
            <w:tcW w:w="121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22DBD96" w14:textId="77777777" w:rsidR="006219DA" w:rsidRPr="00CA768A" w:rsidRDefault="006219DA" w:rsidP="000C3E92">
            <w:pPr>
              <w:pStyle w:val="NoSpacing"/>
              <w:rPr>
                <w:rFonts w:ascii="Arial" w:hAnsi="Arial" w:cs="Arial"/>
              </w:rPr>
            </w:pPr>
            <w:r w:rsidRPr="00CA768A">
              <w:rPr>
                <w:rFonts w:ascii="Arial" w:hAnsi="Arial" w:cs="Arial"/>
              </w:rPr>
              <w:t>94.2%</w:t>
            </w:r>
          </w:p>
        </w:tc>
        <w:tc>
          <w:tcPr>
            <w:tcW w:w="10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CEE953" w14:textId="77777777" w:rsidR="006219DA" w:rsidRDefault="006219DA" w:rsidP="000C3E92">
            <w:pPr>
              <w:pStyle w:val="NoSpacing"/>
              <w:rPr>
                <w:rFonts w:ascii="Arial" w:hAnsi="Arial" w:cs="Arial"/>
              </w:rPr>
            </w:pPr>
            <w:r w:rsidRPr="62385CB5">
              <w:rPr>
                <w:rFonts w:ascii="Arial" w:hAnsi="Arial" w:cs="Arial"/>
              </w:rPr>
              <w:t>95.6%</w:t>
            </w:r>
          </w:p>
          <w:p w14:paraId="4FD9FA15" w14:textId="77777777" w:rsidR="006219DA" w:rsidRDefault="006219DA" w:rsidP="000C3E92">
            <w:pPr>
              <w:pStyle w:val="NoSpacing"/>
            </w:pPr>
          </w:p>
        </w:tc>
        <w:tc>
          <w:tcPr>
            <w:tcW w:w="168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85BC4CD" w14:textId="77777777" w:rsidR="006219DA" w:rsidRDefault="006219DA" w:rsidP="000C3E92">
            <w:pPr>
              <w:pStyle w:val="NoSpacing"/>
              <w:rPr>
                <w:rFonts w:ascii="Arial" w:hAnsi="Arial" w:cs="Arial"/>
              </w:rPr>
            </w:pPr>
            <w:r w:rsidRPr="62385CB5">
              <w:rPr>
                <w:rFonts w:ascii="Arial" w:hAnsi="Arial" w:cs="Arial"/>
              </w:rPr>
              <w:t>95.3%</w:t>
            </w:r>
          </w:p>
          <w:p w14:paraId="7399F01E" w14:textId="77777777" w:rsidR="006219DA" w:rsidRDefault="006219DA" w:rsidP="000C3E92">
            <w:pPr>
              <w:pStyle w:val="NoSpacing"/>
            </w:pPr>
          </w:p>
        </w:tc>
        <w:tc>
          <w:tcPr>
            <w:tcW w:w="13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9DB4A5" w14:textId="77777777" w:rsidR="006219DA" w:rsidRPr="78C3123E" w:rsidRDefault="006219DA" w:rsidP="000C3E92">
            <w:pPr>
              <w:pStyle w:val="NoSpacing"/>
              <w:rPr>
                <w:rFonts w:ascii="Arial" w:hAnsi="Arial" w:cs="Arial"/>
              </w:rPr>
            </w:pPr>
            <w:r>
              <w:rPr>
                <w:rFonts w:ascii="Arial" w:hAnsi="Arial" w:cs="Arial"/>
              </w:rPr>
              <w:t>96.0%</w:t>
            </w:r>
          </w:p>
        </w:tc>
        <w:tc>
          <w:tcPr>
            <w:tcW w:w="1275" w:type="dxa"/>
            <w:tcBorders>
              <w:top w:val="single" w:sz="4" w:space="0" w:color="auto"/>
              <w:left w:val="single" w:sz="4" w:space="0" w:color="auto"/>
              <w:bottom w:val="single" w:sz="4" w:space="0" w:color="auto"/>
              <w:right w:val="single" w:sz="4" w:space="0" w:color="auto"/>
            </w:tcBorders>
          </w:tcPr>
          <w:p w14:paraId="042800A0" w14:textId="77777777" w:rsidR="006219DA" w:rsidRDefault="006219DA" w:rsidP="000C3E92">
            <w:pPr>
              <w:pStyle w:val="NoSpacing"/>
              <w:rPr>
                <w:rFonts w:ascii="Arial" w:hAnsi="Arial" w:cs="Arial"/>
              </w:rPr>
            </w:pPr>
            <w:r w:rsidRPr="78C3123E">
              <w:rPr>
                <w:rFonts w:ascii="Arial" w:hAnsi="Arial" w:cs="Arial"/>
              </w:rPr>
              <w:t>96.0%</w:t>
            </w:r>
          </w:p>
          <w:p w14:paraId="0DACB625" w14:textId="77777777" w:rsidR="006219DA" w:rsidRDefault="006219DA" w:rsidP="000C3E92">
            <w:pPr>
              <w:pStyle w:val="NoSpacing"/>
            </w:pPr>
          </w:p>
        </w:tc>
      </w:tr>
    </w:tbl>
    <w:p w14:paraId="31D4B453" w14:textId="77777777" w:rsidR="006219DA" w:rsidRDefault="006219DA" w:rsidP="006219DA">
      <w:pPr>
        <w:rPr>
          <w:rFonts w:cs="Arial"/>
          <w:b/>
          <w:sz w:val="22"/>
          <w:szCs w:val="22"/>
        </w:rPr>
      </w:pPr>
    </w:p>
    <w:p w14:paraId="4816A6B9" w14:textId="77777777" w:rsidR="006219DA" w:rsidRPr="00EB0F8E" w:rsidRDefault="006219DA" w:rsidP="006219DA">
      <w:pPr>
        <w:rPr>
          <w:rFonts w:ascii="Calibri" w:eastAsiaTheme="minorHAnsi" w:hAnsi="Calibri" w:cs="Calibri"/>
          <w:color w:val="auto"/>
        </w:rPr>
      </w:pPr>
      <w:r w:rsidRPr="00EB0F8E">
        <w:rPr>
          <w:rFonts w:cs="Arial"/>
          <w:b/>
          <w:bCs/>
        </w:rPr>
        <w:t xml:space="preserve">Safeguarding outcomes. </w:t>
      </w:r>
      <w:r w:rsidRPr="00EB0F8E">
        <w:rPr>
          <w:rFonts w:cs="Arial"/>
          <w:color w:val="auto"/>
        </w:rPr>
        <w:t>T</w:t>
      </w:r>
      <w:r w:rsidRPr="00EB0F8E">
        <w:rPr>
          <w:color w:val="auto"/>
        </w:rPr>
        <w:t>here has been a slight</w:t>
      </w:r>
      <w:r>
        <w:rPr>
          <w:color w:val="auto"/>
        </w:rPr>
        <w:t>ly</w:t>
      </w:r>
      <w:r w:rsidRPr="00EB0F8E">
        <w:rPr>
          <w:color w:val="auto"/>
        </w:rPr>
        <w:t xml:space="preserve"> improved position in the proportion of people who have indicated that their safeguarding outcomes were fully met, with performance rising to 66.9% within Quarter 2 of 2020/21.  97% of people indicated that their desired safeguarding outcomes were partially or fully achieved.  However, it continues to be monitored closely, as the detrimental impact resulting from the pandemic in relation of quality of care provided within the care settings has increased the number of referrals in relation to Neglect and Acts of Omission.</w:t>
      </w:r>
    </w:p>
    <w:p w14:paraId="2806E77E" w14:textId="77777777" w:rsidR="006219DA" w:rsidRPr="00102B73" w:rsidRDefault="006219DA" w:rsidP="006219DA">
      <w:pPr>
        <w:pStyle w:val="NoSpacing"/>
        <w:jc w:val="both"/>
        <w:rPr>
          <w:rFonts w:ascii="Arial" w:eastAsia="Times New Roman" w:hAnsi="Arial" w:cs="Arial"/>
          <w:sz w:val="24"/>
          <w:szCs w:val="24"/>
        </w:rPr>
      </w:pPr>
      <w:bookmarkStart w:id="4" w:name="_Hlk87007671"/>
      <w:r w:rsidRPr="00102B73">
        <w:rPr>
          <w:rFonts w:ascii="Arial" w:hAnsi="Arial" w:cs="Arial"/>
          <w:b/>
          <w:bCs/>
          <w:sz w:val="24"/>
          <w:szCs w:val="24"/>
        </w:rPr>
        <w:lastRenderedPageBreak/>
        <w:t>Quality of care homes.</w:t>
      </w:r>
      <w:r w:rsidRPr="00102B73">
        <w:rPr>
          <w:rFonts w:ascii="Arial" w:hAnsi="Arial" w:cs="Arial"/>
          <w:sz w:val="24"/>
          <w:szCs w:val="24"/>
        </w:rPr>
        <w:t xml:space="preserve"> Throughout Lancashire there has been a further drop to 80% of care homes </w:t>
      </w:r>
      <w:r>
        <w:rPr>
          <w:rFonts w:ascii="Arial" w:hAnsi="Arial" w:cs="Arial"/>
          <w:sz w:val="24"/>
          <w:szCs w:val="24"/>
        </w:rPr>
        <w:t>being</w:t>
      </w:r>
      <w:r w:rsidRPr="00102B73">
        <w:rPr>
          <w:rFonts w:ascii="Arial" w:hAnsi="Arial" w:cs="Arial"/>
          <w:sz w:val="24"/>
          <w:szCs w:val="24"/>
        </w:rPr>
        <w:t xml:space="preserve"> rated good or outstanding by the Care Quality Commission (CQC), which puts Lancashire slightly under the national performance of 82%.  This is largely due to the number of inspections increasing within the second quarter of 2021/22 with 32 taking place compared to 5 in the same time period in 2020/21.  Of the 32, 10 of these have moved down in grade from previously being 'good' to now 'requiring improvement' and 1 f</w:t>
      </w:r>
      <w:r>
        <w:rPr>
          <w:rFonts w:ascii="Arial" w:hAnsi="Arial" w:cs="Arial"/>
          <w:sz w:val="24"/>
          <w:szCs w:val="24"/>
        </w:rPr>
        <w:t>ro</w:t>
      </w:r>
      <w:r w:rsidRPr="00102B73">
        <w:rPr>
          <w:rFonts w:ascii="Arial" w:hAnsi="Arial" w:cs="Arial"/>
          <w:sz w:val="24"/>
          <w:szCs w:val="24"/>
        </w:rPr>
        <w:t>m 'requiring improvement' to 'inadequate'.   </w:t>
      </w:r>
    </w:p>
    <w:p w14:paraId="2BEB8FE9" w14:textId="77777777" w:rsidR="006219DA" w:rsidRPr="00102B73" w:rsidRDefault="006219DA" w:rsidP="006219DA">
      <w:pPr>
        <w:pStyle w:val="NoSpacing"/>
        <w:jc w:val="both"/>
        <w:rPr>
          <w:rFonts w:ascii="Arial" w:hAnsi="Arial" w:cs="Arial"/>
          <w:sz w:val="24"/>
          <w:szCs w:val="24"/>
        </w:rPr>
      </w:pPr>
      <w:r w:rsidRPr="00102B73">
        <w:rPr>
          <w:rFonts w:ascii="Arial" w:hAnsi="Arial" w:cs="Arial"/>
          <w:sz w:val="24"/>
          <w:szCs w:val="24"/>
        </w:rPr>
        <w:t>Only 1 LCC maintained care home was inspected in this period which was Thornton House Home for Older People which rated as requires improvement (previously rated as good).</w:t>
      </w:r>
    </w:p>
    <w:p w14:paraId="06FCADE6" w14:textId="77777777" w:rsidR="006219DA" w:rsidRPr="00CD372D" w:rsidRDefault="006219DA" w:rsidP="006219DA">
      <w:pPr>
        <w:pStyle w:val="NoSpacing"/>
        <w:jc w:val="both"/>
        <w:rPr>
          <w:rFonts w:ascii="Arial" w:hAnsi="Arial" w:cs="Arial"/>
          <w:highlight w:val="yellow"/>
        </w:rPr>
      </w:pPr>
      <w:r w:rsidRPr="00102B73">
        <w:rPr>
          <w:rFonts w:ascii="Arial" w:hAnsi="Arial" w:cs="Arial"/>
          <w:b/>
          <w:bCs/>
          <w:sz w:val="24"/>
          <w:szCs w:val="24"/>
        </w:rPr>
        <w:t> </w:t>
      </w:r>
      <w:bookmarkEnd w:id="4"/>
    </w:p>
    <w:p w14:paraId="26A7F246" w14:textId="77777777" w:rsidR="006219DA" w:rsidRPr="003E34D7" w:rsidRDefault="006219DA" w:rsidP="006219DA">
      <w:pPr>
        <w:pStyle w:val="NoSpacing"/>
        <w:jc w:val="both"/>
        <w:rPr>
          <w:rFonts w:ascii="Arial" w:hAnsi="Arial" w:cs="Arial"/>
          <w:b/>
          <w:bCs/>
          <w:color w:val="FF0000"/>
          <w:sz w:val="24"/>
          <w:szCs w:val="24"/>
        </w:rPr>
      </w:pPr>
      <w:r w:rsidRPr="003E34D7">
        <w:rPr>
          <w:rFonts w:ascii="Arial" w:hAnsi="Arial" w:cs="Arial"/>
          <w:sz w:val="24"/>
          <w:szCs w:val="24"/>
        </w:rPr>
        <w:t xml:space="preserve">Lancashire County Council maintains 16 care homes for older people, 11 of which are currently rated good or outstanding (68.75%) with five care homes requiring improvement. The homes currently rated as requiring improvement are Castleford, Clitheroe; </w:t>
      </w:r>
      <w:proofErr w:type="spellStart"/>
      <w:r w:rsidRPr="003E34D7">
        <w:rPr>
          <w:rFonts w:ascii="Arial" w:hAnsi="Arial" w:cs="Arial"/>
          <w:sz w:val="24"/>
          <w:szCs w:val="24"/>
        </w:rPr>
        <w:t>Dolphinlee</w:t>
      </w:r>
      <w:proofErr w:type="spellEnd"/>
      <w:r w:rsidRPr="003E34D7">
        <w:rPr>
          <w:rFonts w:ascii="Arial" w:hAnsi="Arial" w:cs="Arial"/>
          <w:sz w:val="24"/>
          <w:szCs w:val="24"/>
        </w:rPr>
        <w:t>, Lancaster; Woodlands, Clayton-le-Moors; Grove House, Adlington and Thornton House, Thornton Cleveleys. Three of these inspections took place in 2019 and the themes across the homes identified issues with record keeping, responsiveness to call bells, staff skill mix, staff shortages, quality assurance processes, handling of medicines and service management and leadership. Actions have been put in place to address these issues and resolve any behaviours identified.</w:t>
      </w:r>
      <w:r w:rsidRPr="003E34D7">
        <w:rPr>
          <w:rFonts w:ascii="Arial" w:hAnsi="Arial" w:cs="Arial"/>
          <w:b/>
          <w:bCs/>
          <w:color w:val="FF0000"/>
          <w:sz w:val="24"/>
          <w:szCs w:val="24"/>
        </w:rPr>
        <w:t xml:space="preserve">  </w:t>
      </w:r>
    </w:p>
    <w:p w14:paraId="1406373B" w14:textId="77777777" w:rsidR="006219DA" w:rsidRPr="00281FF0" w:rsidRDefault="006219DA" w:rsidP="006219DA">
      <w:pPr>
        <w:pStyle w:val="NoSpacing"/>
        <w:jc w:val="both"/>
        <w:rPr>
          <w:rFonts w:ascii="Arial" w:hAnsi="Arial" w:cs="Arial"/>
        </w:rPr>
      </w:pPr>
    </w:p>
    <w:p w14:paraId="4D819711" w14:textId="77777777" w:rsidR="006219DA" w:rsidRPr="00C47964" w:rsidRDefault="006219DA" w:rsidP="006219DA">
      <w:pPr>
        <w:rPr>
          <w:rFonts w:cs="Arial"/>
        </w:rPr>
      </w:pPr>
      <w:r w:rsidRPr="00C47964">
        <w:rPr>
          <w:rFonts w:cs="Arial"/>
        </w:rPr>
        <w:t>Lancashire County Council also maintains 8 residential short break services for people with disabilities, two are currently rated as outstanding and six as good.</w:t>
      </w:r>
    </w:p>
    <w:p w14:paraId="7F8D4FB2" w14:textId="77777777" w:rsidR="006219DA" w:rsidRPr="00CA7CBC" w:rsidRDefault="006219DA" w:rsidP="006219DA">
      <w:pPr>
        <w:rPr>
          <w:color w:val="auto"/>
        </w:rPr>
      </w:pPr>
      <w:r w:rsidRPr="00CA7CBC">
        <w:rPr>
          <w:b/>
          <w:bCs/>
        </w:rPr>
        <w:t>Quality of community service providers.</w:t>
      </w:r>
      <w:r w:rsidRPr="00CA7CBC">
        <w:t xml:space="preserve"> Community care providers help people to live independently by offering care and support for people with learning disabilities, acute or chronic conditions, mental health needs or substance misuse problems.  Across Lancashire, 96% of community care providers were rated as good or outstanding by the CQC, which is better than national performance (88%).  LCC maintains 9 community care providers, 8 of which are supported living services and are all rated as good. The 'Shared Lives' service </w:t>
      </w:r>
      <w:r w:rsidRPr="00CA7CBC">
        <w:rPr>
          <w:color w:val="auto"/>
        </w:rPr>
        <w:t>matches adults with learning disabilities, physical disabilities, older people and/or mental health needs with carers and their families, to live within their home, and become part of their family. The people living in Shared Lives continue to see their own family and friends as much as they want.  This service is the largest in the country and is rated outstanding by CQC.</w:t>
      </w:r>
    </w:p>
    <w:p w14:paraId="6B376EC6" w14:textId="77777777" w:rsidR="006219DA" w:rsidRDefault="006219DA" w:rsidP="006219DA">
      <w:r w:rsidRPr="00CA7CBC">
        <w:t>Inspections of community providers has also started to increase following the pandemic, with 7 inspections being published throughout Lancashire in the second quarter of 2021/22 (compared to 1 in the same period in 2020/21)</w:t>
      </w:r>
    </w:p>
    <w:p w14:paraId="48A19FBC" w14:textId="212E7E2C" w:rsidR="006219DA" w:rsidRDefault="006219DA" w:rsidP="006219DA">
      <w:pPr>
        <w:rPr>
          <w:sz w:val="22"/>
          <w:szCs w:val="22"/>
          <w:lang w:eastAsia="en-GB"/>
        </w:rPr>
      </w:pPr>
    </w:p>
    <w:p w14:paraId="0FAB192E" w14:textId="77777777" w:rsidR="00957534" w:rsidRPr="00E6645E" w:rsidRDefault="00957534" w:rsidP="006219DA">
      <w:pPr>
        <w:rPr>
          <w:sz w:val="22"/>
          <w:szCs w:val="22"/>
          <w:lang w:eastAsia="en-GB"/>
        </w:rPr>
      </w:pPr>
    </w:p>
    <w:tbl>
      <w:tblPr>
        <w:tblW w:w="13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468"/>
        <w:gridCol w:w="1573"/>
        <w:gridCol w:w="1076"/>
        <w:gridCol w:w="1466"/>
        <w:gridCol w:w="1585"/>
        <w:gridCol w:w="1839"/>
        <w:gridCol w:w="1341"/>
        <w:gridCol w:w="1346"/>
      </w:tblGrid>
      <w:tr w:rsidR="006219DA" w14:paraId="7FFC556B" w14:textId="77777777" w:rsidTr="000C3E92">
        <w:trPr>
          <w:trHeight w:val="433"/>
        </w:trPr>
        <w:tc>
          <w:tcPr>
            <w:tcW w:w="2259" w:type="dxa"/>
            <w:tcBorders>
              <w:top w:val="single" w:sz="4" w:space="0" w:color="auto"/>
              <w:left w:val="single" w:sz="4" w:space="0" w:color="auto"/>
              <w:bottom w:val="single" w:sz="4" w:space="0" w:color="auto"/>
              <w:right w:val="single" w:sz="4" w:space="0" w:color="auto"/>
            </w:tcBorders>
          </w:tcPr>
          <w:p w14:paraId="7B79C83C" w14:textId="77777777" w:rsidR="006219DA" w:rsidRDefault="006219DA" w:rsidP="000C3E92">
            <w:pPr>
              <w:pStyle w:val="NoSpacing"/>
              <w:rPr>
                <w:rFonts w:ascii="Arial" w:hAnsi="Arial" w:cs="Arial"/>
                <w:b/>
                <w:bCs/>
              </w:rPr>
            </w:pPr>
            <w:r w:rsidRPr="0CF1EE9E">
              <w:rPr>
                <w:rFonts w:ascii="Arial" w:hAnsi="Arial" w:cs="Arial"/>
                <w:b/>
                <w:bCs/>
                <w:sz w:val="20"/>
                <w:szCs w:val="20"/>
              </w:rPr>
              <w:lastRenderedPageBreak/>
              <w:t>Performance Indicator</w:t>
            </w:r>
          </w:p>
        </w:tc>
        <w:tc>
          <w:tcPr>
            <w:tcW w:w="1468" w:type="dxa"/>
            <w:tcBorders>
              <w:top w:val="single" w:sz="4" w:space="0" w:color="auto"/>
              <w:left w:val="single" w:sz="4" w:space="0" w:color="auto"/>
              <w:bottom w:val="single" w:sz="4" w:space="0" w:color="auto"/>
              <w:right w:val="single" w:sz="4" w:space="0" w:color="auto"/>
            </w:tcBorders>
          </w:tcPr>
          <w:p w14:paraId="0A0396F1" w14:textId="77777777" w:rsidR="006219DA" w:rsidRDefault="006219DA" w:rsidP="000C3E92">
            <w:pPr>
              <w:pStyle w:val="NoSpacing"/>
              <w:rPr>
                <w:rFonts w:ascii="Arial" w:hAnsi="Arial" w:cs="Arial"/>
                <w:b/>
                <w:bCs/>
              </w:rPr>
            </w:pPr>
            <w:r w:rsidRPr="0CF1EE9E">
              <w:rPr>
                <w:rFonts w:ascii="Arial" w:hAnsi="Arial" w:cs="Arial"/>
                <w:b/>
                <w:bCs/>
                <w:sz w:val="20"/>
                <w:szCs w:val="20"/>
              </w:rPr>
              <w:t>Frequency</w:t>
            </w:r>
          </w:p>
        </w:tc>
        <w:tc>
          <w:tcPr>
            <w:tcW w:w="1573" w:type="dxa"/>
            <w:tcBorders>
              <w:top w:val="single" w:sz="4" w:space="0" w:color="auto"/>
              <w:left w:val="single" w:sz="4" w:space="0" w:color="auto"/>
              <w:bottom w:val="single" w:sz="4" w:space="0" w:color="auto"/>
              <w:right w:val="single" w:sz="4" w:space="0" w:color="auto"/>
            </w:tcBorders>
          </w:tcPr>
          <w:p w14:paraId="46C259D1" w14:textId="77777777" w:rsidR="006219DA" w:rsidRDefault="006219DA" w:rsidP="000C3E92">
            <w:pPr>
              <w:pStyle w:val="NoSpacing"/>
              <w:rPr>
                <w:rFonts w:ascii="Arial" w:hAnsi="Arial" w:cs="Arial"/>
                <w:b/>
                <w:bCs/>
              </w:rPr>
            </w:pPr>
            <w:r w:rsidRPr="0CF1EE9E">
              <w:rPr>
                <w:rFonts w:ascii="Arial" w:hAnsi="Arial" w:cs="Arial"/>
                <w:b/>
                <w:bCs/>
                <w:sz w:val="20"/>
                <w:szCs w:val="20"/>
              </w:rPr>
              <w:t xml:space="preserve">Directorate </w:t>
            </w:r>
          </w:p>
        </w:tc>
        <w:tc>
          <w:tcPr>
            <w:tcW w:w="1076" w:type="dxa"/>
            <w:tcBorders>
              <w:top w:val="single" w:sz="4" w:space="0" w:color="auto"/>
              <w:left w:val="single" w:sz="4" w:space="0" w:color="auto"/>
              <w:bottom w:val="single" w:sz="4" w:space="0" w:color="auto"/>
              <w:right w:val="single" w:sz="4" w:space="0" w:color="auto"/>
            </w:tcBorders>
          </w:tcPr>
          <w:p w14:paraId="28FC7E98" w14:textId="77777777" w:rsidR="006219DA" w:rsidRDefault="006219DA" w:rsidP="000C3E92">
            <w:pPr>
              <w:pStyle w:val="NoSpacing"/>
              <w:rPr>
                <w:rFonts w:ascii="Arial" w:hAnsi="Arial" w:cs="Arial"/>
                <w:b/>
                <w:bCs/>
              </w:rPr>
            </w:pPr>
            <w:r w:rsidRPr="0CF1EE9E">
              <w:rPr>
                <w:rFonts w:ascii="Arial" w:hAnsi="Arial" w:cs="Arial"/>
                <w:b/>
                <w:bCs/>
                <w:sz w:val="20"/>
                <w:szCs w:val="20"/>
              </w:rPr>
              <w:t>Good is</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7991549F" w14:textId="77777777" w:rsidR="006219DA" w:rsidRDefault="006219DA" w:rsidP="000C3E92">
            <w:pPr>
              <w:pStyle w:val="NoSpacing"/>
              <w:rPr>
                <w:rFonts w:ascii="Arial" w:hAnsi="Arial" w:cs="Arial"/>
                <w:b/>
                <w:bCs/>
              </w:rPr>
            </w:pPr>
            <w:r w:rsidRPr="0CF1EE9E">
              <w:rPr>
                <w:rFonts w:ascii="Arial" w:hAnsi="Arial" w:cs="Arial"/>
                <w:b/>
                <w:bCs/>
                <w:sz w:val="20"/>
                <w:szCs w:val="20"/>
              </w:rPr>
              <w:t>2019/20 Outturn</w:t>
            </w:r>
          </w:p>
        </w:tc>
        <w:tc>
          <w:tcPr>
            <w:tcW w:w="1585" w:type="dxa"/>
            <w:tcBorders>
              <w:top w:val="single" w:sz="4" w:space="0" w:color="auto"/>
              <w:left w:val="single" w:sz="4" w:space="0" w:color="auto"/>
              <w:bottom w:val="single" w:sz="4" w:space="0" w:color="auto"/>
              <w:right w:val="single" w:sz="4" w:space="0" w:color="auto"/>
            </w:tcBorders>
          </w:tcPr>
          <w:p w14:paraId="57685BEF" w14:textId="77777777" w:rsidR="006219DA" w:rsidRDefault="006219DA" w:rsidP="000C3E92">
            <w:pPr>
              <w:pStyle w:val="NoSpacing"/>
              <w:jc w:val="center"/>
              <w:rPr>
                <w:rFonts w:ascii="Arial" w:hAnsi="Arial" w:cs="Arial"/>
                <w:b/>
                <w:bCs/>
                <w:sz w:val="20"/>
                <w:szCs w:val="20"/>
              </w:rPr>
            </w:pPr>
            <w:r w:rsidRPr="62385CB5">
              <w:rPr>
                <w:rFonts w:ascii="Arial" w:hAnsi="Arial" w:cs="Arial"/>
                <w:b/>
                <w:bCs/>
                <w:sz w:val="20"/>
                <w:szCs w:val="20"/>
              </w:rPr>
              <w:t>2020/21 Outturn</w:t>
            </w:r>
          </w:p>
        </w:tc>
        <w:tc>
          <w:tcPr>
            <w:tcW w:w="1839" w:type="dxa"/>
            <w:tcBorders>
              <w:top w:val="single" w:sz="4" w:space="0" w:color="auto"/>
              <w:left w:val="single" w:sz="4" w:space="0" w:color="auto"/>
              <w:bottom w:val="single" w:sz="4" w:space="0" w:color="auto"/>
              <w:right w:val="single" w:sz="4" w:space="0" w:color="auto"/>
            </w:tcBorders>
            <w:shd w:val="clear" w:color="auto" w:fill="auto"/>
          </w:tcPr>
          <w:p w14:paraId="599BC98C" w14:textId="77777777" w:rsidR="006219DA" w:rsidRDefault="006219DA" w:rsidP="000C3E92">
            <w:pPr>
              <w:pStyle w:val="NoSpacing"/>
              <w:jc w:val="center"/>
              <w:rPr>
                <w:rFonts w:ascii="Arial" w:hAnsi="Arial" w:cs="Arial"/>
                <w:b/>
                <w:bCs/>
                <w:sz w:val="20"/>
                <w:szCs w:val="20"/>
              </w:rPr>
            </w:pPr>
            <w:r w:rsidRPr="78C3123E">
              <w:rPr>
                <w:rFonts w:ascii="Arial" w:hAnsi="Arial" w:cs="Arial"/>
                <w:b/>
                <w:bCs/>
                <w:sz w:val="20"/>
                <w:szCs w:val="20"/>
              </w:rPr>
              <w:t xml:space="preserve">2021/22   </w:t>
            </w:r>
          </w:p>
          <w:p w14:paraId="488FE503" w14:textId="77777777" w:rsidR="006219DA" w:rsidRDefault="006219DA" w:rsidP="000C3E92">
            <w:pPr>
              <w:pStyle w:val="NoSpacing"/>
              <w:jc w:val="center"/>
              <w:rPr>
                <w:rFonts w:ascii="Arial" w:hAnsi="Arial" w:cs="Arial"/>
                <w:b/>
                <w:bCs/>
                <w:sz w:val="20"/>
                <w:szCs w:val="20"/>
              </w:rPr>
            </w:pPr>
            <w:r w:rsidRPr="78C3123E">
              <w:rPr>
                <w:rFonts w:ascii="Arial" w:hAnsi="Arial" w:cs="Arial"/>
                <w:b/>
                <w:bCs/>
                <w:sz w:val="20"/>
                <w:szCs w:val="20"/>
              </w:rPr>
              <w:t xml:space="preserve">Quarter 1 </w:t>
            </w:r>
          </w:p>
          <w:p w14:paraId="5351862C" w14:textId="77777777" w:rsidR="006219DA" w:rsidRDefault="006219DA" w:rsidP="000C3E92">
            <w:pPr>
              <w:pStyle w:val="NoSpacing"/>
              <w:jc w:val="center"/>
              <w:rPr>
                <w:rFonts w:ascii="Arial" w:hAnsi="Arial" w:cs="Arial"/>
                <w:b/>
                <w:bCs/>
                <w:sz w:val="20"/>
                <w:szCs w:val="20"/>
              </w:rPr>
            </w:pPr>
            <w:r w:rsidRPr="78C3123E">
              <w:rPr>
                <w:rFonts w:ascii="Arial" w:hAnsi="Arial" w:cs="Arial"/>
                <w:b/>
                <w:bCs/>
                <w:sz w:val="20"/>
                <w:szCs w:val="20"/>
              </w:rPr>
              <w:t xml:space="preserve"> </w:t>
            </w:r>
            <w:r w:rsidRPr="78C3123E">
              <w:rPr>
                <w:rFonts w:ascii="Arial" w:hAnsi="Arial" w:cs="Arial"/>
                <w:b/>
                <w:bCs/>
                <w:sz w:val="18"/>
                <w:szCs w:val="18"/>
              </w:rPr>
              <w:t>(April- June)</w:t>
            </w:r>
          </w:p>
          <w:p w14:paraId="799516E7" w14:textId="77777777" w:rsidR="006219DA" w:rsidRDefault="006219DA" w:rsidP="000C3E92">
            <w:pPr>
              <w:pStyle w:val="NoSpacing"/>
              <w:jc w:val="center"/>
              <w:rPr>
                <w:b/>
                <w:bCs/>
                <w:sz w:val="20"/>
                <w:szCs w:val="20"/>
              </w:rPr>
            </w:pPr>
          </w:p>
        </w:tc>
        <w:tc>
          <w:tcPr>
            <w:tcW w:w="1341" w:type="dxa"/>
            <w:tcBorders>
              <w:top w:val="single" w:sz="4" w:space="0" w:color="auto"/>
              <w:left w:val="single" w:sz="4" w:space="0" w:color="auto"/>
              <w:bottom w:val="single" w:sz="4" w:space="0" w:color="auto"/>
              <w:right w:val="single" w:sz="4" w:space="0" w:color="auto"/>
            </w:tcBorders>
          </w:tcPr>
          <w:p w14:paraId="679CA2B6" w14:textId="77777777" w:rsidR="006219DA" w:rsidRDefault="006219DA" w:rsidP="000C3E92">
            <w:pPr>
              <w:pStyle w:val="NoSpacing"/>
              <w:jc w:val="center"/>
              <w:rPr>
                <w:rFonts w:ascii="Arial" w:hAnsi="Arial" w:cs="Arial"/>
                <w:b/>
                <w:bCs/>
                <w:sz w:val="20"/>
                <w:szCs w:val="20"/>
              </w:rPr>
            </w:pPr>
            <w:r>
              <w:rPr>
                <w:rFonts w:ascii="Arial" w:hAnsi="Arial" w:cs="Arial"/>
                <w:b/>
                <w:bCs/>
                <w:sz w:val="20"/>
                <w:szCs w:val="20"/>
              </w:rPr>
              <w:t>2021/22</w:t>
            </w:r>
          </w:p>
          <w:p w14:paraId="7F1B17A0" w14:textId="77777777" w:rsidR="006219DA" w:rsidRDefault="006219DA" w:rsidP="000C3E92">
            <w:pPr>
              <w:pStyle w:val="NoSpacing"/>
              <w:jc w:val="center"/>
              <w:rPr>
                <w:rFonts w:ascii="Arial" w:hAnsi="Arial" w:cs="Arial"/>
                <w:b/>
                <w:bCs/>
                <w:sz w:val="20"/>
                <w:szCs w:val="20"/>
              </w:rPr>
            </w:pPr>
            <w:r>
              <w:rPr>
                <w:rFonts w:ascii="Arial" w:hAnsi="Arial" w:cs="Arial"/>
                <w:b/>
                <w:bCs/>
                <w:sz w:val="20"/>
                <w:szCs w:val="20"/>
              </w:rPr>
              <w:t>Quarter 2</w:t>
            </w:r>
          </w:p>
          <w:p w14:paraId="4D664A76" w14:textId="77777777" w:rsidR="006219DA" w:rsidRPr="62385CB5" w:rsidRDefault="006219DA" w:rsidP="000C3E92">
            <w:pPr>
              <w:pStyle w:val="NoSpacing"/>
              <w:jc w:val="center"/>
              <w:rPr>
                <w:rFonts w:ascii="Arial" w:hAnsi="Arial" w:cs="Arial"/>
                <w:b/>
                <w:bCs/>
                <w:sz w:val="20"/>
                <w:szCs w:val="20"/>
              </w:rPr>
            </w:pPr>
            <w:r w:rsidRPr="00254A8C">
              <w:rPr>
                <w:rFonts w:ascii="Arial" w:hAnsi="Arial" w:cs="Arial"/>
                <w:b/>
                <w:bCs/>
                <w:sz w:val="18"/>
                <w:szCs w:val="18"/>
              </w:rPr>
              <w:t>(July – Sep)</w:t>
            </w:r>
          </w:p>
        </w:tc>
        <w:tc>
          <w:tcPr>
            <w:tcW w:w="1346" w:type="dxa"/>
            <w:tcBorders>
              <w:top w:val="single" w:sz="4" w:space="0" w:color="auto"/>
              <w:left w:val="single" w:sz="4" w:space="0" w:color="auto"/>
              <w:bottom w:val="single" w:sz="4" w:space="0" w:color="auto"/>
              <w:right w:val="single" w:sz="4" w:space="0" w:color="auto"/>
            </w:tcBorders>
          </w:tcPr>
          <w:p w14:paraId="68437C16" w14:textId="77777777" w:rsidR="006219DA" w:rsidRDefault="006219DA" w:rsidP="000C3E92">
            <w:pPr>
              <w:pStyle w:val="NoSpacing"/>
              <w:jc w:val="center"/>
              <w:rPr>
                <w:rFonts w:ascii="Arial" w:hAnsi="Arial" w:cs="Arial"/>
                <w:b/>
                <w:bCs/>
              </w:rPr>
            </w:pPr>
            <w:r w:rsidRPr="62385CB5">
              <w:rPr>
                <w:rFonts w:ascii="Arial" w:hAnsi="Arial" w:cs="Arial"/>
                <w:b/>
                <w:bCs/>
                <w:sz w:val="20"/>
                <w:szCs w:val="20"/>
              </w:rPr>
              <w:t>2021/22 Target</w:t>
            </w:r>
          </w:p>
        </w:tc>
      </w:tr>
      <w:tr w:rsidR="006219DA" w14:paraId="79BDA4A6" w14:textId="77777777" w:rsidTr="000C3E92">
        <w:trPr>
          <w:trHeight w:val="993"/>
        </w:trPr>
        <w:tc>
          <w:tcPr>
            <w:tcW w:w="2259" w:type="dxa"/>
            <w:tcBorders>
              <w:top w:val="single" w:sz="4" w:space="0" w:color="auto"/>
              <w:left w:val="single" w:sz="4" w:space="0" w:color="auto"/>
              <w:bottom w:val="single" w:sz="4" w:space="0" w:color="auto"/>
              <w:right w:val="single" w:sz="4" w:space="0" w:color="auto"/>
            </w:tcBorders>
          </w:tcPr>
          <w:p w14:paraId="0E65ECA0" w14:textId="77777777" w:rsidR="006219DA" w:rsidRPr="0060756D" w:rsidRDefault="006219DA" w:rsidP="000C3E92">
            <w:pPr>
              <w:pStyle w:val="NoSpacing"/>
              <w:rPr>
                <w:rFonts w:ascii="Arial" w:hAnsi="Arial" w:cs="Arial"/>
              </w:rPr>
            </w:pPr>
            <w:r w:rsidRPr="0CF1EE9E">
              <w:rPr>
                <w:rFonts w:ascii="Arial" w:hAnsi="Arial" w:cs="Arial"/>
              </w:rPr>
              <w:t>Percentage of adults with learning disabilities in employment</w:t>
            </w:r>
          </w:p>
        </w:tc>
        <w:tc>
          <w:tcPr>
            <w:tcW w:w="1468" w:type="dxa"/>
            <w:tcBorders>
              <w:top w:val="single" w:sz="4" w:space="0" w:color="auto"/>
              <w:left w:val="single" w:sz="4" w:space="0" w:color="auto"/>
              <w:bottom w:val="single" w:sz="4" w:space="0" w:color="auto"/>
              <w:right w:val="single" w:sz="4" w:space="0" w:color="auto"/>
            </w:tcBorders>
          </w:tcPr>
          <w:p w14:paraId="77336840" w14:textId="77777777" w:rsidR="006219DA" w:rsidRPr="0060756D" w:rsidRDefault="006219DA" w:rsidP="000C3E92">
            <w:pPr>
              <w:pStyle w:val="NoSpacing"/>
              <w:rPr>
                <w:rFonts w:ascii="Arial" w:hAnsi="Arial" w:cs="Arial"/>
              </w:rPr>
            </w:pPr>
            <w:r w:rsidRPr="0060756D">
              <w:rPr>
                <w:rFonts w:ascii="Arial" w:hAnsi="Arial" w:cs="Arial"/>
              </w:rPr>
              <w:t>Quarterly</w:t>
            </w:r>
          </w:p>
        </w:tc>
        <w:tc>
          <w:tcPr>
            <w:tcW w:w="1573" w:type="dxa"/>
            <w:tcBorders>
              <w:top w:val="single" w:sz="4" w:space="0" w:color="auto"/>
              <w:left w:val="single" w:sz="4" w:space="0" w:color="auto"/>
              <w:bottom w:val="single" w:sz="4" w:space="0" w:color="auto"/>
              <w:right w:val="single" w:sz="4" w:space="0" w:color="auto"/>
            </w:tcBorders>
          </w:tcPr>
          <w:p w14:paraId="0A334CF3" w14:textId="77777777" w:rsidR="006219DA" w:rsidRPr="0060756D" w:rsidRDefault="006219DA" w:rsidP="000C3E92">
            <w:pPr>
              <w:pStyle w:val="NoSpacing"/>
              <w:rPr>
                <w:rFonts w:ascii="Arial" w:hAnsi="Arial" w:cs="Arial"/>
              </w:rPr>
            </w:pPr>
            <w:r w:rsidRPr="0060756D">
              <w:rPr>
                <w:rFonts w:ascii="Arial" w:hAnsi="Arial" w:cs="Arial"/>
              </w:rPr>
              <w:t>Adults Services and Health and Wellbeing</w:t>
            </w:r>
          </w:p>
        </w:tc>
        <w:tc>
          <w:tcPr>
            <w:tcW w:w="1076" w:type="dxa"/>
            <w:tcBorders>
              <w:top w:val="single" w:sz="4" w:space="0" w:color="auto"/>
              <w:left w:val="single" w:sz="4" w:space="0" w:color="auto"/>
              <w:bottom w:val="single" w:sz="4" w:space="0" w:color="auto"/>
              <w:right w:val="single" w:sz="4" w:space="0" w:color="auto"/>
            </w:tcBorders>
          </w:tcPr>
          <w:p w14:paraId="6D1BB6C1" w14:textId="77777777" w:rsidR="006219DA" w:rsidRPr="0060756D" w:rsidRDefault="006219DA" w:rsidP="000C3E92">
            <w:pPr>
              <w:pStyle w:val="NoSpacing"/>
              <w:rPr>
                <w:rFonts w:ascii="Arial" w:hAnsi="Arial" w:cs="Arial"/>
              </w:rPr>
            </w:pPr>
            <w:r w:rsidRPr="0060756D">
              <w:rPr>
                <w:rFonts w:ascii="Arial" w:hAnsi="Arial" w:cs="Arial"/>
              </w:rPr>
              <w:t>High</w:t>
            </w:r>
          </w:p>
        </w:tc>
        <w:tc>
          <w:tcPr>
            <w:tcW w:w="1466" w:type="dxa"/>
            <w:tcBorders>
              <w:top w:val="single" w:sz="4" w:space="0" w:color="auto"/>
              <w:left w:val="single" w:sz="4" w:space="0" w:color="auto"/>
              <w:bottom w:val="single" w:sz="4" w:space="0" w:color="auto"/>
              <w:right w:val="single" w:sz="4" w:space="0" w:color="auto"/>
            </w:tcBorders>
            <w:shd w:val="clear" w:color="auto" w:fill="FF0000"/>
          </w:tcPr>
          <w:p w14:paraId="5B3EF7F5" w14:textId="77777777" w:rsidR="006219DA" w:rsidRPr="0060756D" w:rsidRDefault="006219DA" w:rsidP="000C3E92">
            <w:pPr>
              <w:pStyle w:val="NoSpacing"/>
              <w:jc w:val="center"/>
              <w:rPr>
                <w:rFonts w:ascii="Arial" w:hAnsi="Arial" w:cs="Arial"/>
                <w:color w:val="FFFFFF" w:themeColor="background1"/>
              </w:rPr>
            </w:pPr>
            <w:r w:rsidRPr="78C3123E">
              <w:rPr>
                <w:rFonts w:ascii="Arial" w:hAnsi="Arial" w:cs="Arial"/>
                <w:color w:val="FFFFFF" w:themeColor="background1"/>
              </w:rPr>
              <w:t>2.02%</w:t>
            </w:r>
          </w:p>
        </w:tc>
        <w:tc>
          <w:tcPr>
            <w:tcW w:w="1585" w:type="dxa"/>
            <w:tcBorders>
              <w:top w:val="single" w:sz="4" w:space="0" w:color="auto"/>
              <w:left w:val="single" w:sz="4" w:space="0" w:color="auto"/>
              <w:bottom w:val="single" w:sz="4" w:space="0" w:color="auto"/>
              <w:right w:val="single" w:sz="4" w:space="0" w:color="auto"/>
            </w:tcBorders>
            <w:shd w:val="clear" w:color="auto" w:fill="FF0000"/>
          </w:tcPr>
          <w:p w14:paraId="19BB56EF" w14:textId="77777777" w:rsidR="006219DA" w:rsidRPr="0060756D" w:rsidRDefault="006219DA" w:rsidP="000C3E92">
            <w:pPr>
              <w:pStyle w:val="NoSpacing"/>
              <w:jc w:val="center"/>
              <w:rPr>
                <w:rFonts w:ascii="Arial" w:hAnsi="Arial" w:cs="Arial"/>
                <w:color w:val="FFFFFF" w:themeColor="background1"/>
              </w:rPr>
            </w:pPr>
            <w:r w:rsidRPr="78C3123E">
              <w:rPr>
                <w:rFonts w:ascii="Arial" w:hAnsi="Arial" w:cs="Arial"/>
                <w:color w:val="FFFFFF" w:themeColor="background1"/>
              </w:rPr>
              <w:t>2.3%</w:t>
            </w:r>
          </w:p>
        </w:tc>
        <w:tc>
          <w:tcPr>
            <w:tcW w:w="1839" w:type="dxa"/>
            <w:tcBorders>
              <w:top w:val="single" w:sz="4" w:space="0" w:color="auto"/>
              <w:left w:val="single" w:sz="4" w:space="0" w:color="auto"/>
              <w:bottom w:val="single" w:sz="4" w:space="0" w:color="auto"/>
              <w:right w:val="single" w:sz="4" w:space="0" w:color="auto"/>
            </w:tcBorders>
            <w:shd w:val="clear" w:color="auto" w:fill="FF0000"/>
          </w:tcPr>
          <w:p w14:paraId="4302DC00" w14:textId="77777777" w:rsidR="006219DA" w:rsidRPr="008E7297" w:rsidRDefault="006219DA" w:rsidP="000C3E92">
            <w:pPr>
              <w:pStyle w:val="NoSpacing"/>
              <w:jc w:val="center"/>
              <w:rPr>
                <w:rFonts w:ascii="Arial" w:hAnsi="Arial" w:cs="Arial"/>
                <w:color w:val="FFFFFF" w:themeColor="background1"/>
              </w:rPr>
            </w:pPr>
            <w:r w:rsidRPr="008E7297">
              <w:rPr>
                <w:rFonts w:ascii="Arial" w:hAnsi="Arial" w:cs="Arial"/>
                <w:color w:val="FFFFFF" w:themeColor="background1"/>
              </w:rPr>
              <w:t>1.9%</w:t>
            </w:r>
          </w:p>
        </w:tc>
        <w:tc>
          <w:tcPr>
            <w:tcW w:w="1341" w:type="dxa"/>
            <w:tcBorders>
              <w:top w:val="single" w:sz="4" w:space="0" w:color="auto"/>
              <w:left w:val="single" w:sz="4" w:space="0" w:color="auto"/>
              <w:bottom w:val="single" w:sz="4" w:space="0" w:color="auto"/>
              <w:right w:val="single" w:sz="4" w:space="0" w:color="auto"/>
            </w:tcBorders>
            <w:shd w:val="clear" w:color="auto" w:fill="FF0000"/>
          </w:tcPr>
          <w:p w14:paraId="5FBEC949" w14:textId="77777777" w:rsidR="006219DA" w:rsidRPr="008E7297" w:rsidRDefault="006219DA" w:rsidP="000C3E92">
            <w:pPr>
              <w:pStyle w:val="NoSpacing"/>
              <w:jc w:val="center"/>
              <w:rPr>
                <w:rFonts w:ascii="Arial" w:hAnsi="Arial" w:cs="Arial"/>
                <w:color w:val="FFFFFF" w:themeColor="background1"/>
              </w:rPr>
            </w:pPr>
            <w:r w:rsidRPr="008E7297">
              <w:rPr>
                <w:rFonts w:ascii="Arial" w:hAnsi="Arial" w:cs="Arial"/>
                <w:color w:val="FFFFFF" w:themeColor="background1"/>
              </w:rPr>
              <w:t>2.1%</w:t>
            </w:r>
          </w:p>
        </w:tc>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tcPr>
          <w:p w14:paraId="353CD4D4" w14:textId="77777777" w:rsidR="006219DA" w:rsidRPr="0060756D" w:rsidRDefault="006219DA" w:rsidP="000C3E92">
            <w:pPr>
              <w:pStyle w:val="NoSpacing"/>
              <w:jc w:val="center"/>
              <w:rPr>
                <w:rFonts w:ascii="Arial" w:hAnsi="Arial" w:cs="Arial"/>
              </w:rPr>
            </w:pPr>
            <w:r w:rsidRPr="78C3123E">
              <w:rPr>
                <w:rFonts w:ascii="Arial" w:hAnsi="Arial" w:cs="Arial"/>
              </w:rPr>
              <w:t>3.1%</w:t>
            </w:r>
          </w:p>
        </w:tc>
      </w:tr>
    </w:tbl>
    <w:p w14:paraId="7B627A20" w14:textId="77777777" w:rsidR="006219DA" w:rsidRPr="0060756D" w:rsidRDefault="006219DA" w:rsidP="006219DA">
      <w:pPr>
        <w:pStyle w:val="NoSpacing"/>
        <w:rPr>
          <w:rFonts w:ascii="Arial" w:hAnsi="Arial" w:cs="Arial"/>
          <w:b/>
        </w:rPr>
      </w:pPr>
    </w:p>
    <w:p w14:paraId="0BF4075A" w14:textId="77777777" w:rsidR="006219DA" w:rsidRDefault="006219DA" w:rsidP="006219DA">
      <w:r w:rsidRPr="007B1D09">
        <w:rPr>
          <w:b/>
          <w:bCs/>
        </w:rPr>
        <w:t>Adults with learning disabilities in employment</w:t>
      </w:r>
      <w:r w:rsidRPr="007B1D09">
        <w:t>.</w:t>
      </w:r>
      <w:r>
        <w:t xml:space="preserve"> </w:t>
      </w:r>
      <w:r w:rsidRPr="00087367">
        <w:t xml:space="preserve">The number of Adults with learning disabilities </w:t>
      </w:r>
      <w:r>
        <w:t xml:space="preserve">in employment </w:t>
      </w:r>
      <w:r w:rsidRPr="00087367">
        <w:t xml:space="preserve">continues to be low and under target </w:t>
      </w:r>
      <w:r>
        <w:t xml:space="preserve">(as </w:t>
      </w:r>
      <w:r w:rsidRPr="00087367">
        <w:t xml:space="preserve">the national benchmark </w:t>
      </w:r>
      <w:r>
        <w:t xml:space="preserve">is </w:t>
      </w:r>
      <w:r w:rsidRPr="00087367">
        <w:t>5.6%</w:t>
      </w:r>
      <w:r>
        <w:t>)</w:t>
      </w:r>
      <w:r w:rsidRPr="00087367">
        <w:t>. The pandemic reduced some employment prospects impeding the opportunity for people with learning disabilities to be introduced to a working environment.  </w:t>
      </w:r>
    </w:p>
    <w:p w14:paraId="2BCAC690" w14:textId="31F1C038" w:rsidR="006219DA" w:rsidRDefault="006219DA" w:rsidP="006219DA">
      <w:r w:rsidRPr="0D5360B6">
        <w:t>The response to the pandemic reorganised priorities internally and resulted in some of the staff within the adult disability employment support service being re-deployed into other business critical roles. This resulted in the reduction of some of the support and monitoring.  Work has now started to resume in this area to review how more adults</w:t>
      </w:r>
      <w:r>
        <w:t xml:space="preserve"> with learning disabilities</w:t>
      </w:r>
      <w:r w:rsidRPr="0D5360B6">
        <w:t xml:space="preserve"> can be supported into employment in the 2021/22 year, by both the role of the specialist support team and also providers of care and support services. </w:t>
      </w:r>
    </w:p>
    <w:p w14:paraId="1D304500" w14:textId="77777777" w:rsidR="006219DA" w:rsidRDefault="006219DA" w:rsidP="006219DA">
      <w:pPr>
        <w:pStyle w:val="NoSpacing"/>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470"/>
        <w:gridCol w:w="3819"/>
        <w:gridCol w:w="6095"/>
      </w:tblGrid>
      <w:tr w:rsidR="006219DA" w14:paraId="0CE1272C" w14:textId="77777777" w:rsidTr="000C3E92">
        <w:trPr>
          <w:trHeight w:val="623"/>
        </w:trPr>
        <w:tc>
          <w:tcPr>
            <w:tcW w:w="2508" w:type="dxa"/>
            <w:tcBorders>
              <w:top w:val="single" w:sz="4" w:space="0" w:color="auto"/>
              <w:left w:val="single" w:sz="4" w:space="0" w:color="auto"/>
              <w:bottom w:val="single" w:sz="4" w:space="0" w:color="auto"/>
              <w:right w:val="single" w:sz="4" w:space="0" w:color="auto"/>
            </w:tcBorders>
          </w:tcPr>
          <w:p w14:paraId="5FD3DDCD" w14:textId="77777777" w:rsidR="006219DA" w:rsidRDefault="006219DA" w:rsidP="000C3E92">
            <w:pPr>
              <w:pStyle w:val="NoSpacing"/>
              <w:rPr>
                <w:rFonts w:ascii="Arial" w:hAnsi="Arial" w:cs="Arial"/>
                <w:b/>
                <w:bCs/>
                <w:sz w:val="20"/>
                <w:szCs w:val="20"/>
              </w:rPr>
            </w:pPr>
            <w:r w:rsidRPr="0D5360B6">
              <w:rPr>
                <w:rFonts w:ascii="Arial" w:hAnsi="Arial" w:cs="Arial"/>
                <w:b/>
                <w:bCs/>
                <w:sz w:val="20"/>
                <w:szCs w:val="20"/>
              </w:rPr>
              <w:t>Performance Indicator</w:t>
            </w:r>
          </w:p>
        </w:tc>
        <w:tc>
          <w:tcPr>
            <w:tcW w:w="1470" w:type="dxa"/>
            <w:tcBorders>
              <w:top w:val="single" w:sz="4" w:space="0" w:color="auto"/>
              <w:left w:val="single" w:sz="4" w:space="0" w:color="auto"/>
              <w:bottom w:val="single" w:sz="4" w:space="0" w:color="auto"/>
              <w:right w:val="single" w:sz="4" w:space="0" w:color="auto"/>
            </w:tcBorders>
          </w:tcPr>
          <w:p w14:paraId="5DF0E247" w14:textId="77777777" w:rsidR="006219DA" w:rsidRDefault="006219DA" w:rsidP="000C3E92">
            <w:pPr>
              <w:pStyle w:val="NoSpacing"/>
              <w:rPr>
                <w:rFonts w:ascii="Arial" w:hAnsi="Arial" w:cs="Arial"/>
                <w:b/>
                <w:bCs/>
                <w:sz w:val="20"/>
                <w:szCs w:val="20"/>
              </w:rPr>
            </w:pPr>
            <w:r w:rsidRPr="0D5360B6">
              <w:rPr>
                <w:rFonts w:ascii="Arial" w:hAnsi="Arial" w:cs="Arial"/>
                <w:b/>
                <w:bCs/>
                <w:sz w:val="20"/>
                <w:szCs w:val="20"/>
              </w:rPr>
              <w:t>Frequency</w:t>
            </w:r>
          </w:p>
        </w:tc>
        <w:tc>
          <w:tcPr>
            <w:tcW w:w="3819" w:type="dxa"/>
            <w:tcBorders>
              <w:top w:val="single" w:sz="4" w:space="0" w:color="auto"/>
              <w:left w:val="single" w:sz="4" w:space="0" w:color="auto"/>
              <w:bottom w:val="single" w:sz="4" w:space="0" w:color="auto"/>
              <w:right w:val="single" w:sz="4" w:space="0" w:color="auto"/>
            </w:tcBorders>
          </w:tcPr>
          <w:p w14:paraId="7D25B1B4" w14:textId="77777777" w:rsidR="006219DA" w:rsidRDefault="006219DA" w:rsidP="000C3E92">
            <w:pPr>
              <w:pStyle w:val="NoSpacing"/>
              <w:rPr>
                <w:rFonts w:ascii="Arial" w:hAnsi="Arial" w:cs="Arial"/>
                <w:b/>
                <w:bCs/>
                <w:sz w:val="20"/>
                <w:szCs w:val="20"/>
              </w:rPr>
            </w:pPr>
            <w:r w:rsidRPr="0D5360B6">
              <w:rPr>
                <w:rFonts w:ascii="Arial" w:hAnsi="Arial" w:cs="Arial"/>
                <w:b/>
                <w:bCs/>
                <w:sz w:val="20"/>
                <w:szCs w:val="20"/>
              </w:rPr>
              <w:t xml:space="preserve">Directorate </w:t>
            </w:r>
          </w:p>
        </w:tc>
        <w:tc>
          <w:tcPr>
            <w:tcW w:w="6095" w:type="dxa"/>
            <w:tcBorders>
              <w:top w:val="single" w:sz="4" w:space="0" w:color="auto"/>
              <w:left w:val="single" w:sz="4" w:space="0" w:color="auto"/>
              <w:bottom w:val="single" w:sz="4" w:space="0" w:color="auto"/>
              <w:right w:val="single" w:sz="4" w:space="0" w:color="auto"/>
            </w:tcBorders>
          </w:tcPr>
          <w:p w14:paraId="2A1F4685" w14:textId="77777777" w:rsidR="006219DA" w:rsidRDefault="006219DA" w:rsidP="000C3E92">
            <w:pPr>
              <w:pStyle w:val="NoSpacing"/>
              <w:spacing w:line="252" w:lineRule="auto"/>
              <w:rPr>
                <w:rFonts w:ascii="Arial" w:eastAsiaTheme="minorEastAsia" w:hAnsi="Arial" w:cs="Arial"/>
                <w:b/>
                <w:bCs/>
                <w:sz w:val="20"/>
                <w:szCs w:val="20"/>
              </w:rPr>
            </w:pPr>
            <w:r w:rsidRPr="0D5360B6">
              <w:rPr>
                <w:rFonts w:ascii="Arial" w:hAnsi="Arial" w:cs="Arial"/>
                <w:b/>
                <w:bCs/>
                <w:sz w:val="20"/>
                <w:szCs w:val="20"/>
              </w:rPr>
              <w:t>Current Performance</w:t>
            </w:r>
          </w:p>
        </w:tc>
      </w:tr>
      <w:tr w:rsidR="006219DA" w14:paraId="2E2747F5" w14:textId="77777777" w:rsidTr="000C3E92">
        <w:trPr>
          <w:trHeight w:val="684"/>
        </w:trPr>
        <w:tc>
          <w:tcPr>
            <w:tcW w:w="2508" w:type="dxa"/>
            <w:tcBorders>
              <w:top w:val="single" w:sz="4" w:space="0" w:color="auto"/>
              <w:left w:val="single" w:sz="4" w:space="0" w:color="auto"/>
              <w:bottom w:val="single" w:sz="4" w:space="0" w:color="auto"/>
              <w:right w:val="single" w:sz="4" w:space="0" w:color="auto"/>
            </w:tcBorders>
          </w:tcPr>
          <w:p w14:paraId="34A88812" w14:textId="77777777" w:rsidR="006219DA" w:rsidRDefault="006219DA" w:rsidP="000C3E92">
            <w:pPr>
              <w:pStyle w:val="NoSpacing"/>
              <w:rPr>
                <w:rFonts w:ascii="Arial" w:eastAsia="Arial" w:hAnsi="Arial" w:cs="Arial"/>
              </w:rPr>
            </w:pPr>
            <w:r w:rsidRPr="0D5360B6">
              <w:rPr>
                <w:rFonts w:ascii="Arial" w:eastAsia="Arial" w:hAnsi="Arial" w:cs="Arial"/>
              </w:rPr>
              <w:t>Public Health Outcomes in Lancashire</w:t>
            </w:r>
          </w:p>
          <w:p w14:paraId="4078E026" w14:textId="77777777" w:rsidR="006219DA" w:rsidRDefault="006219DA" w:rsidP="000C3E92">
            <w:pPr>
              <w:pStyle w:val="NoSpacing"/>
            </w:pPr>
          </w:p>
        </w:tc>
        <w:tc>
          <w:tcPr>
            <w:tcW w:w="1470" w:type="dxa"/>
            <w:tcBorders>
              <w:top w:val="single" w:sz="4" w:space="0" w:color="auto"/>
              <w:left w:val="single" w:sz="4" w:space="0" w:color="auto"/>
              <w:bottom w:val="single" w:sz="4" w:space="0" w:color="auto"/>
              <w:right w:val="single" w:sz="4" w:space="0" w:color="auto"/>
            </w:tcBorders>
          </w:tcPr>
          <w:p w14:paraId="783BE1D3" w14:textId="77777777" w:rsidR="006219DA" w:rsidRDefault="006219DA" w:rsidP="000C3E92">
            <w:pPr>
              <w:pStyle w:val="NoSpacing"/>
              <w:rPr>
                <w:rFonts w:ascii="Arial" w:hAnsi="Arial" w:cs="Arial"/>
              </w:rPr>
            </w:pPr>
            <w:r w:rsidRPr="0D5360B6">
              <w:rPr>
                <w:rFonts w:ascii="Arial" w:hAnsi="Arial" w:cs="Arial"/>
              </w:rPr>
              <w:t>Annual</w:t>
            </w:r>
          </w:p>
        </w:tc>
        <w:tc>
          <w:tcPr>
            <w:tcW w:w="3819" w:type="dxa"/>
            <w:tcBorders>
              <w:top w:val="single" w:sz="4" w:space="0" w:color="auto"/>
              <w:left w:val="single" w:sz="4" w:space="0" w:color="auto"/>
              <w:bottom w:val="single" w:sz="4" w:space="0" w:color="auto"/>
              <w:right w:val="single" w:sz="4" w:space="0" w:color="auto"/>
            </w:tcBorders>
          </w:tcPr>
          <w:p w14:paraId="2C535B8E" w14:textId="77777777" w:rsidR="006219DA" w:rsidRDefault="006219DA" w:rsidP="000C3E92">
            <w:pPr>
              <w:pStyle w:val="NoSpacing"/>
            </w:pPr>
            <w:r w:rsidRPr="0D5360B6">
              <w:rPr>
                <w:rFonts w:ascii="Arial" w:hAnsi="Arial" w:cs="Arial"/>
              </w:rPr>
              <w:t>Adults Services and Health and Wellbeing</w:t>
            </w:r>
          </w:p>
          <w:p w14:paraId="14EC32D3" w14:textId="77777777" w:rsidR="006219DA" w:rsidRDefault="006219DA" w:rsidP="000C3E92">
            <w:pPr>
              <w:pStyle w:val="NoSpacing"/>
            </w:pPr>
          </w:p>
        </w:tc>
        <w:tc>
          <w:tcPr>
            <w:tcW w:w="6095" w:type="dxa"/>
            <w:tcBorders>
              <w:top w:val="single" w:sz="4" w:space="0" w:color="auto"/>
              <w:left w:val="single" w:sz="4" w:space="0" w:color="auto"/>
              <w:bottom w:val="single" w:sz="4" w:space="0" w:color="auto"/>
              <w:right w:val="single" w:sz="4" w:space="0" w:color="auto"/>
            </w:tcBorders>
          </w:tcPr>
          <w:p w14:paraId="44669322" w14:textId="77777777" w:rsidR="006219DA" w:rsidRDefault="006219DA" w:rsidP="000C3E92">
            <w:pPr>
              <w:pStyle w:val="NoSpacing"/>
              <w:rPr>
                <w:rFonts w:ascii="Arial" w:hAnsi="Arial" w:cs="Arial"/>
              </w:rPr>
            </w:pPr>
            <w:r w:rsidRPr="0D5360B6">
              <w:rPr>
                <w:rFonts w:ascii="Arial" w:hAnsi="Arial" w:cs="Arial"/>
              </w:rPr>
              <w:t>Report presented to 01/07/21 CCPI meeting.  Additional metrics now being considered for inclusion in</w:t>
            </w:r>
            <w:r>
              <w:rPr>
                <w:rFonts w:ascii="Arial" w:hAnsi="Arial" w:cs="Arial"/>
              </w:rPr>
              <w:t xml:space="preserve"> future</w:t>
            </w:r>
            <w:r w:rsidRPr="0D5360B6">
              <w:rPr>
                <w:rFonts w:ascii="Arial" w:hAnsi="Arial" w:cs="Arial"/>
              </w:rPr>
              <w:t xml:space="preserve"> report</w:t>
            </w:r>
            <w:r>
              <w:rPr>
                <w:rFonts w:ascii="Arial" w:hAnsi="Arial" w:cs="Arial"/>
              </w:rPr>
              <w:t>s</w:t>
            </w:r>
            <w:r w:rsidRPr="0D5360B6">
              <w:rPr>
                <w:rFonts w:ascii="Arial" w:hAnsi="Arial" w:cs="Arial"/>
              </w:rPr>
              <w:t>.</w:t>
            </w:r>
          </w:p>
        </w:tc>
      </w:tr>
    </w:tbl>
    <w:p w14:paraId="34005C38" w14:textId="77777777" w:rsidR="006219DA" w:rsidRDefault="006219DA" w:rsidP="006219DA">
      <w:pPr>
        <w:pStyle w:val="NoSpacing"/>
        <w:jc w:val="both"/>
      </w:pPr>
    </w:p>
    <w:p w14:paraId="0CDE9E7F" w14:textId="77777777" w:rsidR="006219DA" w:rsidRDefault="006219DA" w:rsidP="006219DA">
      <w:pPr>
        <w:autoSpaceDE/>
        <w:autoSpaceDN/>
        <w:adjustRightInd/>
        <w:spacing w:after="160" w:line="259" w:lineRule="auto"/>
        <w:jc w:val="left"/>
        <w:rPr>
          <w:rFonts w:ascii="Calibri" w:hAnsi="Calibri" w:cs="Times New Roman"/>
          <w:color w:val="auto"/>
          <w:sz w:val="22"/>
          <w:szCs w:val="22"/>
        </w:rPr>
      </w:pPr>
      <w:r>
        <w:br w:type="page"/>
      </w:r>
    </w:p>
    <w:p w14:paraId="537332EC" w14:textId="77777777" w:rsidR="006219DA" w:rsidRDefault="006219DA" w:rsidP="006219DA">
      <w:pPr>
        <w:pStyle w:val="NoSpacing"/>
        <w:jc w:val="both"/>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590"/>
        <w:gridCol w:w="1560"/>
        <w:gridCol w:w="1035"/>
        <w:gridCol w:w="960"/>
        <w:gridCol w:w="1563"/>
        <w:gridCol w:w="1569"/>
        <w:gridCol w:w="1257"/>
        <w:gridCol w:w="1418"/>
      </w:tblGrid>
      <w:tr w:rsidR="006219DA" w14:paraId="42FF6D1B" w14:textId="77777777" w:rsidTr="000C3E92">
        <w:trPr>
          <w:trHeight w:val="439"/>
        </w:trPr>
        <w:tc>
          <w:tcPr>
            <w:tcW w:w="2940" w:type="dxa"/>
            <w:tcBorders>
              <w:top w:val="single" w:sz="4" w:space="0" w:color="auto"/>
              <w:left w:val="single" w:sz="4" w:space="0" w:color="auto"/>
              <w:bottom w:val="single" w:sz="4" w:space="0" w:color="auto"/>
              <w:right w:val="single" w:sz="4" w:space="0" w:color="auto"/>
            </w:tcBorders>
            <w:hideMark/>
          </w:tcPr>
          <w:p w14:paraId="057557D6" w14:textId="77777777" w:rsidR="006219DA" w:rsidRPr="006C07CE" w:rsidRDefault="006219DA" w:rsidP="000C3E92">
            <w:pPr>
              <w:pStyle w:val="NoSpacing"/>
              <w:rPr>
                <w:rFonts w:ascii="Arial" w:hAnsi="Arial" w:cs="Arial"/>
                <w:b/>
                <w:bCs/>
              </w:rPr>
            </w:pPr>
            <w:r w:rsidRPr="62385CB5">
              <w:rPr>
                <w:rFonts w:ascii="Arial" w:hAnsi="Arial" w:cs="Arial"/>
                <w:b/>
                <w:bCs/>
                <w:sz w:val="20"/>
                <w:szCs w:val="20"/>
              </w:rPr>
              <w:t>Performance Indicator</w:t>
            </w:r>
          </w:p>
          <w:p w14:paraId="01B766E4" w14:textId="77777777" w:rsidR="006219DA" w:rsidRPr="006C07CE" w:rsidRDefault="006219DA" w:rsidP="000C3E92">
            <w:pPr>
              <w:pStyle w:val="NoSpacing"/>
              <w:rPr>
                <w:b/>
                <w:bCs/>
              </w:rPr>
            </w:pPr>
          </w:p>
        </w:tc>
        <w:tc>
          <w:tcPr>
            <w:tcW w:w="1590" w:type="dxa"/>
            <w:tcBorders>
              <w:top w:val="single" w:sz="4" w:space="0" w:color="auto"/>
              <w:left w:val="single" w:sz="4" w:space="0" w:color="auto"/>
              <w:bottom w:val="single" w:sz="4" w:space="0" w:color="auto"/>
              <w:right w:val="single" w:sz="4" w:space="0" w:color="auto"/>
            </w:tcBorders>
            <w:hideMark/>
          </w:tcPr>
          <w:p w14:paraId="73F2EA81" w14:textId="77777777" w:rsidR="006219DA" w:rsidRPr="006C07CE" w:rsidRDefault="006219DA" w:rsidP="000C3E92">
            <w:pPr>
              <w:pStyle w:val="NoSpacing"/>
              <w:rPr>
                <w:rFonts w:ascii="Arial" w:hAnsi="Arial" w:cs="Arial"/>
                <w:b/>
                <w:bCs/>
              </w:rPr>
            </w:pPr>
            <w:r w:rsidRPr="62385CB5">
              <w:rPr>
                <w:rFonts w:ascii="Arial" w:hAnsi="Arial" w:cs="Arial"/>
                <w:b/>
                <w:bCs/>
                <w:sz w:val="20"/>
                <w:szCs w:val="20"/>
              </w:rPr>
              <w:t>Frequency</w:t>
            </w:r>
          </w:p>
          <w:p w14:paraId="491B411D" w14:textId="77777777" w:rsidR="006219DA" w:rsidRPr="006C07CE" w:rsidRDefault="006219DA" w:rsidP="000C3E92">
            <w:pPr>
              <w:pStyle w:val="NoSpacing"/>
              <w:rPr>
                <w:b/>
                <w:bCs/>
              </w:rPr>
            </w:pPr>
          </w:p>
        </w:tc>
        <w:tc>
          <w:tcPr>
            <w:tcW w:w="1560" w:type="dxa"/>
            <w:tcBorders>
              <w:top w:val="single" w:sz="4" w:space="0" w:color="auto"/>
              <w:left w:val="single" w:sz="4" w:space="0" w:color="auto"/>
              <w:bottom w:val="single" w:sz="4" w:space="0" w:color="auto"/>
              <w:right w:val="single" w:sz="4" w:space="0" w:color="auto"/>
            </w:tcBorders>
          </w:tcPr>
          <w:p w14:paraId="359DD5D2" w14:textId="77777777" w:rsidR="006219DA" w:rsidRPr="006C07CE" w:rsidRDefault="006219DA" w:rsidP="000C3E92">
            <w:pPr>
              <w:pStyle w:val="NoSpacing"/>
              <w:rPr>
                <w:rFonts w:ascii="Arial" w:hAnsi="Arial" w:cs="Arial"/>
                <w:b/>
                <w:bCs/>
              </w:rPr>
            </w:pPr>
            <w:r w:rsidRPr="62385CB5">
              <w:rPr>
                <w:rFonts w:ascii="Arial" w:hAnsi="Arial" w:cs="Arial"/>
                <w:b/>
                <w:bCs/>
                <w:sz w:val="20"/>
                <w:szCs w:val="20"/>
              </w:rPr>
              <w:t>Directorate</w:t>
            </w:r>
          </w:p>
          <w:p w14:paraId="03209C6E" w14:textId="77777777" w:rsidR="006219DA" w:rsidRPr="006C07CE" w:rsidRDefault="006219DA" w:rsidP="000C3E92">
            <w:pPr>
              <w:pStyle w:val="NoSpacing"/>
              <w:rPr>
                <w:b/>
                <w:bCs/>
              </w:rPr>
            </w:pPr>
          </w:p>
        </w:tc>
        <w:tc>
          <w:tcPr>
            <w:tcW w:w="1035" w:type="dxa"/>
            <w:tcBorders>
              <w:top w:val="single" w:sz="4" w:space="0" w:color="auto"/>
              <w:left w:val="single" w:sz="4" w:space="0" w:color="auto"/>
              <w:bottom w:val="single" w:sz="4" w:space="0" w:color="auto"/>
              <w:right w:val="single" w:sz="4" w:space="0" w:color="auto"/>
            </w:tcBorders>
          </w:tcPr>
          <w:p w14:paraId="151DD1D9" w14:textId="77777777" w:rsidR="006219DA" w:rsidRPr="0018338F" w:rsidRDefault="006219DA" w:rsidP="000C3E92">
            <w:pPr>
              <w:pStyle w:val="NoSpacing"/>
              <w:rPr>
                <w:rFonts w:ascii="Arial" w:hAnsi="Arial" w:cs="Arial"/>
                <w:b/>
                <w:bCs/>
              </w:rPr>
            </w:pPr>
            <w:r w:rsidRPr="62385CB5">
              <w:rPr>
                <w:rFonts w:ascii="Arial" w:hAnsi="Arial" w:cs="Arial"/>
                <w:b/>
                <w:bCs/>
                <w:sz w:val="20"/>
                <w:szCs w:val="20"/>
              </w:rPr>
              <w:t>Good is</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40839EB" w14:textId="77777777" w:rsidR="006219DA" w:rsidRPr="0018338F" w:rsidRDefault="006219DA" w:rsidP="000C3E92">
            <w:pPr>
              <w:pStyle w:val="NoSpacing"/>
              <w:rPr>
                <w:rFonts w:ascii="Arial" w:hAnsi="Arial" w:cs="Arial"/>
                <w:b/>
                <w:bCs/>
              </w:rPr>
            </w:pPr>
            <w:r w:rsidRPr="78C3123E">
              <w:rPr>
                <w:rFonts w:ascii="Arial" w:hAnsi="Arial" w:cs="Arial"/>
                <w:b/>
                <w:bCs/>
                <w:sz w:val="20"/>
                <w:szCs w:val="20"/>
              </w:rPr>
              <w:t>2019/20 Outturn</w:t>
            </w:r>
          </w:p>
        </w:tc>
        <w:tc>
          <w:tcPr>
            <w:tcW w:w="1563" w:type="dxa"/>
            <w:tcBorders>
              <w:top w:val="single" w:sz="4" w:space="0" w:color="auto"/>
              <w:left w:val="single" w:sz="4" w:space="0" w:color="auto"/>
              <w:bottom w:val="single" w:sz="4" w:space="0" w:color="auto"/>
              <w:right w:val="single" w:sz="4" w:space="0" w:color="auto"/>
            </w:tcBorders>
          </w:tcPr>
          <w:p w14:paraId="3AA2ACCF" w14:textId="77777777" w:rsidR="006219DA" w:rsidRPr="006C07CE" w:rsidRDefault="006219DA" w:rsidP="000C3E92">
            <w:pPr>
              <w:pStyle w:val="NoSpacing"/>
              <w:jc w:val="center"/>
              <w:rPr>
                <w:rFonts w:ascii="Arial" w:hAnsi="Arial" w:cs="Arial"/>
                <w:b/>
                <w:bCs/>
                <w:sz w:val="20"/>
                <w:szCs w:val="20"/>
              </w:rPr>
            </w:pPr>
            <w:r w:rsidRPr="62385CB5">
              <w:rPr>
                <w:rFonts w:ascii="Arial" w:hAnsi="Arial" w:cs="Arial"/>
                <w:b/>
                <w:bCs/>
                <w:sz w:val="20"/>
                <w:szCs w:val="20"/>
              </w:rPr>
              <w:t>2020/21 Outturn</w:t>
            </w:r>
          </w:p>
          <w:p w14:paraId="0DCC6322" w14:textId="77777777" w:rsidR="006219DA" w:rsidRPr="006C07CE" w:rsidRDefault="006219DA" w:rsidP="000C3E92">
            <w:pPr>
              <w:pStyle w:val="NoSpacing"/>
              <w:rPr>
                <w:b/>
                <w:bCs/>
              </w:rPr>
            </w:pP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7503D256" w14:textId="77777777" w:rsidR="006219DA" w:rsidRPr="003E0F90" w:rsidRDefault="006219DA" w:rsidP="000C3E92">
            <w:pPr>
              <w:pStyle w:val="NoSpacing"/>
              <w:jc w:val="center"/>
              <w:rPr>
                <w:rFonts w:ascii="Arial" w:hAnsi="Arial" w:cs="Arial"/>
                <w:b/>
                <w:bCs/>
              </w:rPr>
            </w:pPr>
            <w:r w:rsidRPr="62385CB5">
              <w:rPr>
                <w:rFonts w:ascii="Arial" w:hAnsi="Arial" w:cs="Arial"/>
                <w:b/>
                <w:bCs/>
                <w:sz w:val="20"/>
                <w:szCs w:val="20"/>
              </w:rPr>
              <w:t xml:space="preserve">2021/22 Quarter 1 </w:t>
            </w:r>
            <w:r w:rsidRPr="62385CB5">
              <w:rPr>
                <w:rFonts w:ascii="Arial" w:hAnsi="Arial" w:cs="Arial"/>
                <w:b/>
                <w:bCs/>
                <w:sz w:val="18"/>
                <w:szCs w:val="18"/>
              </w:rPr>
              <w:t>(April –June)</w:t>
            </w:r>
          </w:p>
        </w:tc>
        <w:tc>
          <w:tcPr>
            <w:tcW w:w="1257" w:type="dxa"/>
            <w:tcBorders>
              <w:top w:val="single" w:sz="4" w:space="0" w:color="auto"/>
              <w:left w:val="single" w:sz="4" w:space="0" w:color="auto"/>
              <w:bottom w:val="single" w:sz="4" w:space="0" w:color="auto"/>
              <w:right w:val="single" w:sz="4" w:space="0" w:color="auto"/>
            </w:tcBorders>
          </w:tcPr>
          <w:p w14:paraId="2EA915EB" w14:textId="77777777" w:rsidR="006219DA" w:rsidRDefault="006219DA" w:rsidP="000C3E92">
            <w:pPr>
              <w:pStyle w:val="NoSpacing"/>
              <w:jc w:val="center"/>
              <w:rPr>
                <w:rFonts w:ascii="Arial" w:hAnsi="Arial" w:cs="Arial"/>
                <w:b/>
                <w:bCs/>
                <w:sz w:val="20"/>
                <w:szCs w:val="20"/>
              </w:rPr>
            </w:pPr>
            <w:r>
              <w:rPr>
                <w:rFonts w:ascii="Arial" w:hAnsi="Arial" w:cs="Arial"/>
                <w:b/>
                <w:bCs/>
                <w:sz w:val="20"/>
                <w:szCs w:val="20"/>
              </w:rPr>
              <w:t>2021/22</w:t>
            </w:r>
          </w:p>
          <w:p w14:paraId="27BAA8C5" w14:textId="77777777" w:rsidR="006219DA" w:rsidRDefault="006219DA" w:rsidP="000C3E92">
            <w:pPr>
              <w:pStyle w:val="NoSpacing"/>
              <w:jc w:val="center"/>
              <w:rPr>
                <w:rFonts w:ascii="Arial" w:hAnsi="Arial" w:cs="Arial"/>
                <w:b/>
                <w:bCs/>
                <w:sz w:val="20"/>
                <w:szCs w:val="20"/>
              </w:rPr>
            </w:pPr>
            <w:r>
              <w:rPr>
                <w:rFonts w:ascii="Arial" w:hAnsi="Arial" w:cs="Arial"/>
                <w:b/>
                <w:bCs/>
                <w:sz w:val="20"/>
                <w:szCs w:val="20"/>
              </w:rPr>
              <w:t>Quarter 2</w:t>
            </w:r>
          </w:p>
          <w:p w14:paraId="3EE96396" w14:textId="77777777" w:rsidR="006219DA" w:rsidRPr="62385CB5" w:rsidRDefault="006219DA" w:rsidP="000C3E92">
            <w:pPr>
              <w:pStyle w:val="NoSpacing"/>
              <w:jc w:val="center"/>
              <w:rPr>
                <w:rFonts w:ascii="Arial" w:hAnsi="Arial" w:cs="Arial"/>
                <w:b/>
                <w:bCs/>
                <w:sz w:val="20"/>
                <w:szCs w:val="20"/>
              </w:rPr>
            </w:pPr>
            <w:r w:rsidRPr="00254A8C">
              <w:rPr>
                <w:rFonts w:ascii="Arial" w:hAnsi="Arial" w:cs="Arial"/>
                <w:b/>
                <w:bCs/>
                <w:sz w:val="18"/>
                <w:szCs w:val="18"/>
              </w:rPr>
              <w:t>(July – Sep)</w:t>
            </w:r>
          </w:p>
        </w:tc>
        <w:tc>
          <w:tcPr>
            <w:tcW w:w="1418" w:type="dxa"/>
            <w:tcBorders>
              <w:top w:val="single" w:sz="4" w:space="0" w:color="auto"/>
              <w:left w:val="single" w:sz="4" w:space="0" w:color="auto"/>
              <w:bottom w:val="single" w:sz="4" w:space="0" w:color="auto"/>
              <w:right w:val="single" w:sz="4" w:space="0" w:color="auto"/>
            </w:tcBorders>
          </w:tcPr>
          <w:p w14:paraId="1A9E390D" w14:textId="77777777" w:rsidR="006219DA" w:rsidRPr="0018338F" w:rsidRDefault="006219DA" w:rsidP="000C3E92">
            <w:pPr>
              <w:pStyle w:val="NoSpacing"/>
              <w:jc w:val="center"/>
              <w:rPr>
                <w:rFonts w:ascii="Arial" w:hAnsi="Arial" w:cs="Arial"/>
                <w:b/>
                <w:bCs/>
              </w:rPr>
            </w:pPr>
            <w:r w:rsidRPr="62385CB5">
              <w:rPr>
                <w:rFonts w:ascii="Arial" w:hAnsi="Arial" w:cs="Arial"/>
                <w:b/>
                <w:bCs/>
                <w:sz w:val="20"/>
                <w:szCs w:val="20"/>
              </w:rPr>
              <w:t>2021/22 Target</w:t>
            </w:r>
          </w:p>
        </w:tc>
      </w:tr>
      <w:tr w:rsidR="006219DA" w14:paraId="6D8A5014" w14:textId="77777777" w:rsidTr="000C3E92">
        <w:trPr>
          <w:trHeight w:val="557"/>
        </w:trPr>
        <w:tc>
          <w:tcPr>
            <w:tcW w:w="2940" w:type="dxa"/>
            <w:tcBorders>
              <w:top w:val="single" w:sz="4" w:space="0" w:color="auto"/>
              <w:left w:val="single" w:sz="4" w:space="0" w:color="auto"/>
              <w:bottom w:val="single" w:sz="4" w:space="0" w:color="auto"/>
              <w:right w:val="single" w:sz="4" w:space="0" w:color="auto"/>
            </w:tcBorders>
            <w:hideMark/>
          </w:tcPr>
          <w:p w14:paraId="5C09864A" w14:textId="77777777" w:rsidR="006219DA" w:rsidRPr="0060756D" w:rsidRDefault="006219DA" w:rsidP="000C3E92">
            <w:pPr>
              <w:pStyle w:val="NoSpacing"/>
              <w:rPr>
                <w:rFonts w:ascii="Arial" w:hAnsi="Arial" w:cs="Arial"/>
              </w:rPr>
            </w:pPr>
            <w:r w:rsidRPr="0060756D">
              <w:rPr>
                <w:rFonts w:ascii="Arial" w:hAnsi="Arial" w:cs="Arial"/>
              </w:rPr>
              <w:t>Percentage of older people (65 and over) who were still at home 91 days after discharge from hospital into reablement/</w:t>
            </w:r>
            <w:r>
              <w:rPr>
                <w:rFonts w:ascii="Arial" w:hAnsi="Arial" w:cs="Arial"/>
              </w:rPr>
              <w:t xml:space="preserve"> </w:t>
            </w:r>
            <w:r w:rsidRPr="0060756D">
              <w:rPr>
                <w:rFonts w:ascii="Arial" w:hAnsi="Arial" w:cs="Arial"/>
              </w:rPr>
              <w:t>rehabilitation services</w:t>
            </w:r>
          </w:p>
        </w:tc>
        <w:tc>
          <w:tcPr>
            <w:tcW w:w="1590" w:type="dxa"/>
            <w:tcBorders>
              <w:top w:val="single" w:sz="4" w:space="0" w:color="auto"/>
              <w:left w:val="single" w:sz="4" w:space="0" w:color="auto"/>
              <w:bottom w:val="single" w:sz="4" w:space="0" w:color="auto"/>
              <w:right w:val="single" w:sz="4" w:space="0" w:color="auto"/>
            </w:tcBorders>
            <w:hideMark/>
          </w:tcPr>
          <w:p w14:paraId="7471AAC8" w14:textId="77777777" w:rsidR="006219DA" w:rsidRPr="0060756D" w:rsidRDefault="006219DA" w:rsidP="000C3E92">
            <w:pPr>
              <w:pStyle w:val="NoSpacing"/>
              <w:rPr>
                <w:rFonts w:ascii="Arial" w:hAnsi="Arial" w:cs="Arial"/>
              </w:rPr>
            </w:pPr>
            <w:r w:rsidRPr="0060756D">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14:paraId="47B1BC0F" w14:textId="77777777" w:rsidR="006219DA" w:rsidRPr="0060756D" w:rsidRDefault="006219DA" w:rsidP="000C3E92">
            <w:pPr>
              <w:pStyle w:val="NoSpacing"/>
              <w:rPr>
                <w:rFonts w:ascii="Arial" w:hAnsi="Arial" w:cs="Arial"/>
              </w:rPr>
            </w:pPr>
            <w:r w:rsidRPr="0060756D">
              <w:rPr>
                <w:rFonts w:ascii="Arial" w:hAnsi="Arial" w:cs="Arial"/>
              </w:rPr>
              <w:t>Adults Services and Health and Wellbeing</w:t>
            </w:r>
          </w:p>
        </w:tc>
        <w:tc>
          <w:tcPr>
            <w:tcW w:w="1035" w:type="dxa"/>
            <w:tcBorders>
              <w:top w:val="single" w:sz="4" w:space="0" w:color="auto"/>
              <w:left w:val="single" w:sz="4" w:space="0" w:color="auto"/>
              <w:bottom w:val="single" w:sz="4" w:space="0" w:color="auto"/>
              <w:right w:val="single" w:sz="4" w:space="0" w:color="auto"/>
            </w:tcBorders>
          </w:tcPr>
          <w:p w14:paraId="0888599A" w14:textId="77777777" w:rsidR="006219DA" w:rsidRPr="0060756D" w:rsidRDefault="006219DA" w:rsidP="000C3E92">
            <w:pPr>
              <w:pStyle w:val="NoSpacing"/>
              <w:rPr>
                <w:rFonts w:ascii="Arial" w:hAnsi="Arial" w:cs="Arial"/>
              </w:rPr>
            </w:pPr>
            <w:r w:rsidRPr="0060756D">
              <w:rPr>
                <w:rFonts w:ascii="Arial" w:hAnsi="Arial" w:cs="Arial"/>
              </w:rPr>
              <w:t>High</w:t>
            </w:r>
          </w:p>
        </w:tc>
        <w:tc>
          <w:tcPr>
            <w:tcW w:w="96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1E22DBA" w14:textId="77777777" w:rsidR="006219DA" w:rsidRPr="0060756D" w:rsidRDefault="006219DA" w:rsidP="000C3E92">
            <w:pPr>
              <w:pStyle w:val="NoSpacing"/>
              <w:jc w:val="center"/>
              <w:rPr>
                <w:rFonts w:ascii="Arial" w:hAnsi="Arial" w:cs="Arial"/>
              </w:rPr>
            </w:pPr>
            <w:r w:rsidRPr="78C3123E">
              <w:rPr>
                <w:rFonts w:ascii="Arial" w:hAnsi="Arial" w:cs="Arial"/>
              </w:rPr>
              <w:t>84.3%</w:t>
            </w:r>
          </w:p>
        </w:tc>
        <w:tc>
          <w:tcPr>
            <w:tcW w:w="156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D012F09" w14:textId="77777777" w:rsidR="006219DA" w:rsidRPr="0060756D" w:rsidRDefault="006219DA" w:rsidP="000C3E92">
            <w:pPr>
              <w:pStyle w:val="NoSpacing"/>
              <w:jc w:val="center"/>
              <w:rPr>
                <w:rFonts w:ascii="Arial" w:hAnsi="Arial" w:cs="Arial"/>
              </w:rPr>
            </w:pPr>
            <w:r w:rsidRPr="62385CB5">
              <w:rPr>
                <w:rFonts w:ascii="Arial" w:hAnsi="Arial" w:cs="Arial"/>
              </w:rPr>
              <w:t>81.6%</w:t>
            </w:r>
          </w:p>
        </w:tc>
        <w:tc>
          <w:tcPr>
            <w:tcW w:w="15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76267E" w14:textId="77777777" w:rsidR="006219DA" w:rsidRPr="0060756D" w:rsidRDefault="006219DA" w:rsidP="000C3E92">
            <w:pPr>
              <w:pStyle w:val="NoSpacing"/>
              <w:jc w:val="center"/>
              <w:rPr>
                <w:rFonts w:ascii="Arial" w:hAnsi="Arial" w:cs="Arial"/>
              </w:rPr>
            </w:pPr>
            <w:r w:rsidRPr="62385CB5">
              <w:rPr>
                <w:rFonts w:ascii="Arial" w:hAnsi="Arial" w:cs="Arial"/>
              </w:rPr>
              <w:t>86.7%</w:t>
            </w:r>
          </w:p>
        </w:tc>
        <w:tc>
          <w:tcPr>
            <w:tcW w:w="12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AF686C" w14:textId="77777777" w:rsidR="006219DA" w:rsidRPr="78C3123E" w:rsidRDefault="006219DA" w:rsidP="000C3E92">
            <w:pPr>
              <w:pStyle w:val="NoSpacing"/>
              <w:jc w:val="center"/>
              <w:rPr>
                <w:rFonts w:ascii="Arial" w:hAnsi="Arial" w:cs="Arial"/>
              </w:rPr>
            </w:pPr>
            <w:r>
              <w:rPr>
                <w:rFonts w:ascii="Arial" w:hAnsi="Arial" w:cs="Arial"/>
              </w:rPr>
              <w:t>85.2%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045B6FF" w14:textId="77777777" w:rsidR="006219DA" w:rsidRPr="0060756D" w:rsidRDefault="006219DA" w:rsidP="000C3E92">
            <w:pPr>
              <w:pStyle w:val="NoSpacing"/>
              <w:jc w:val="center"/>
              <w:rPr>
                <w:rFonts w:ascii="Arial" w:hAnsi="Arial" w:cs="Arial"/>
              </w:rPr>
            </w:pPr>
            <w:r w:rsidRPr="78C3123E">
              <w:rPr>
                <w:rFonts w:ascii="Arial" w:hAnsi="Arial" w:cs="Arial"/>
              </w:rPr>
              <w:t>87.4%</w:t>
            </w:r>
          </w:p>
        </w:tc>
      </w:tr>
      <w:tr w:rsidR="006219DA" w14:paraId="7388AE7B" w14:textId="77777777" w:rsidTr="000C3E92">
        <w:trPr>
          <w:trHeight w:val="666"/>
        </w:trPr>
        <w:tc>
          <w:tcPr>
            <w:tcW w:w="2940" w:type="dxa"/>
            <w:tcBorders>
              <w:top w:val="single" w:sz="4" w:space="0" w:color="auto"/>
              <w:left w:val="single" w:sz="4" w:space="0" w:color="auto"/>
              <w:bottom w:val="single" w:sz="4" w:space="0" w:color="auto"/>
              <w:right w:val="single" w:sz="4" w:space="0" w:color="auto"/>
            </w:tcBorders>
            <w:hideMark/>
          </w:tcPr>
          <w:p w14:paraId="6E2F05F3" w14:textId="77777777" w:rsidR="006219DA" w:rsidRPr="0060756D" w:rsidRDefault="006219DA" w:rsidP="000C3E92">
            <w:pPr>
              <w:pStyle w:val="NoSpacing"/>
              <w:rPr>
                <w:rFonts w:ascii="Arial" w:hAnsi="Arial" w:cs="Arial"/>
                <w:i/>
              </w:rPr>
            </w:pPr>
            <w:r w:rsidRPr="0060756D">
              <w:rPr>
                <w:rFonts w:ascii="Arial" w:hAnsi="Arial" w:cs="Arial"/>
              </w:rPr>
              <w:t>Proportion of adults with learning disabilities who live in their own home</w:t>
            </w:r>
          </w:p>
        </w:tc>
        <w:tc>
          <w:tcPr>
            <w:tcW w:w="1590" w:type="dxa"/>
            <w:tcBorders>
              <w:top w:val="single" w:sz="4" w:space="0" w:color="auto"/>
              <w:left w:val="single" w:sz="4" w:space="0" w:color="auto"/>
              <w:bottom w:val="single" w:sz="4" w:space="0" w:color="auto"/>
              <w:right w:val="single" w:sz="4" w:space="0" w:color="auto"/>
            </w:tcBorders>
            <w:hideMark/>
          </w:tcPr>
          <w:p w14:paraId="1D0430B1" w14:textId="77777777" w:rsidR="006219DA" w:rsidRPr="0060756D" w:rsidRDefault="006219DA" w:rsidP="000C3E92">
            <w:pPr>
              <w:pStyle w:val="NoSpacing"/>
              <w:rPr>
                <w:rFonts w:ascii="Arial" w:hAnsi="Arial" w:cs="Arial"/>
                <w:i/>
              </w:rPr>
            </w:pPr>
            <w:r w:rsidRPr="0060756D">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14:paraId="44CCC20E" w14:textId="77777777" w:rsidR="006219DA" w:rsidRPr="0060756D" w:rsidRDefault="006219DA" w:rsidP="000C3E92">
            <w:pPr>
              <w:pStyle w:val="NoSpacing"/>
              <w:rPr>
                <w:rFonts w:ascii="Arial" w:hAnsi="Arial" w:cs="Arial"/>
              </w:rPr>
            </w:pPr>
            <w:r w:rsidRPr="0060756D">
              <w:rPr>
                <w:rFonts w:ascii="Arial" w:hAnsi="Arial" w:cs="Arial"/>
              </w:rPr>
              <w:t>Adults Services and Health and Wellbeing</w:t>
            </w:r>
          </w:p>
        </w:tc>
        <w:tc>
          <w:tcPr>
            <w:tcW w:w="1035" w:type="dxa"/>
            <w:tcBorders>
              <w:top w:val="single" w:sz="4" w:space="0" w:color="auto"/>
              <w:left w:val="single" w:sz="4" w:space="0" w:color="auto"/>
              <w:bottom w:val="single" w:sz="4" w:space="0" w:color="auto"/>
              <w:right w:val="single" w:sz="4" w:space="0" w:color="auto"/>
            </w:tcBorders>
          </w:tcPr>
          <w:p w14:paraId="7E3D5F0F" w14:textId="77777777" w:rsidR="006219DA" w:rsidRPr="0060756D" w:rsidRDefault="006219DA" w:rsidP="000C3E92">
            <w:pPr>
              <w:pStyle w:val="NoSpacing"/>
              <w:rPr>
                <w:rFonts w:ascii="Arial" w:hAnsi="Arial" w:cs="Arial"/>
              </w:rPr>
            </w:pPr>
            <w:r w:rsidRPr="0060756D">
              <w:rPr>
                <w:rFonts w:ascii="Arial" w:hAnsi="Arial" w:cs="Arial"/>
              </w:rPr>
              <w:t>High</w:t>
            </w:r>
          </w:p>
        </w:tc>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74C9B3" w14:textId="77777777" w:rsidR="006219DA" w:rsidRPr="0060756D" w:rsidRDefault="006219DA" w:rsidP="000C3E92">
            <w:pPr>
              <w:pStyle w:val="NoSpacing"/>
              <w:jc w:val="center"/>
              <w:rPr>
                <w:rFonts w:ascii="Arial" w:hAnsi="Arial" w:cs="Arial"/>
              </w:rPr>
            </w:pPr>
            <w:r w:rsidRPr="0060756D">
              <w:rPr>
                <w:rFonts w:ascii="Arial" w:hAnsi="Arial" w:cs="Arial"/>
              </w:rPr>
              <w:t>82.1%</w:t>
            </w:r>
          </w:p>
        </w:tc>
        <w:tc>
          <w:tcPr>
            <w:tcW w:w="156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26A8643" w14:textId="77777777" w:rsidR="006219DA" w:rsidRPr="0060756D" w:rsidRDefault="006219DA" w:rsidP="000C3E92">
            <w:pPr>
              <w:pStyle w:val="NoSpacing"/>
              <w:jc w:val="center"/>
              <w:rPr>
                <w:rFonts w:ascii="Arial" w:hAnsi="Arial" w:cs="Arial"/>
              </w:rPr>
            </w:pPr>
            <w:r w:rsidRPr="62385CB5">
              <w:rPr>
                <w:rFonts w:ascii="Arial" w:hAnsi="Arial" w:cs="Arial"/>
              </w:rPr>
              <w:t>83.0%</w:t>
            </w:r>
          </w:p>
        </w:tc>
        <w:tc>
          <w:tcPr>
            <w:tcW w:w="15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AD6E96" w14:textId="77777777" w:rsidR="006219DA" w:rsidRPr="0060756D" w:rsidRDefault="006219DA" w:rsidP="000C3E92">
            <w:pPr>
              <w:pStyle w:val="NoSpacing"/>
              <w:jc w:val="center"/>
              <w:rPr>
                <w:rFonts w:ascii="Arial" w:hAnsi="Arial" w:cs="Arial"/>
              </w:rPr>
            </w:pPr>
            <w:r w:rsidRPr="62385CB5">
              <w:rPr>
                <w:rFonts w:ascii="Arial" w:hAnsi="Arial" w:cs="Arial"/>
              </w:rPr>
              <w:t>81.1%</w:t>
            </w:r>
          </w:p>
        </w:tc>
        <w:tc>
          <w:tcPr>
            <w:tcW w:w="12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785DD0" w14:textId="77777777" w:rsidR="006219DA" w:rsidRPr="62385CB5" w:rsidRDefault="006219DA" w:rsidP="000C3E92">
            <w:pPr>
              <w:pStyle w:val="NoSpacing"/>
              <w:jc w:val="center"/>
              <w:rPr>
                <w:rFonts w:ascii="Arial" w:hAnsi="Arial" w:cs="Arial"/>
              </w:rPr>
            </w:pPr>
            <w:r>
              <w:rPr>
                <w:rFonts w:ascii="Arial" w:hAnsi="Arial" w:cs="Arial"/>
              </w:rPr>
              <w:t>90.9%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FB3E5EE" w14:textId="77777777" w:rsidR="006219DA" w:rsidRPr="0060756D" w:rsidRDefault="006219DA" w:rsidP="000C3E92">
            <w:pPr>
              <w:pStyle w:val="NoSpacing"/>
              <w:jc w:val="center"/>
              <w:rPr>
                <w:rFonts w:ascii="Arial" w:hAnsi="Arial" w:cs="Arial"/>
              </w:rPr>
            </w:pPr>
            <w:r w:rsidRPr="62385CB5">
              <w:rPr>
                <w:rFonts w:ascii="Arial" w:hAnsi="Arial" w:cs="Arial"/>
              </w:rPr>
              <w:t>86%</w:t>
            </w:r>
          </w:p>
        </w:tc>
      </w:tr>
      <w:tr w:rsidR="006219DA" w14:paraId="5DA200A8" w14:textId="77777777" w:rsidTr="000C3E92">
        <w:trPr>
          <w:trHeight w:val="666"/>
        </w:trPr>
        <w:tc>
          <w:tcPr>
            <w:tcW w:w="2940" w:type="dxa"/>
            <w:tcBorders>
              <w:top w:val="single" w:sz="4" w:space="0" w:color="auto"/>
              <w:left w:val="single" w:sz="4" w:space="0" w:color="auto"/>
              <w:bottom w:val="single" w:sz="4" w:space="0" w:color="auto"/>
              <w:right w:val="single" w:sz="4" w:space="0" w:color="auto"/>
            </w:tcBorders>
            <w:hideMark/>
          </w:tcPr>
          <w:p w14:paraId="5D9A8869" w14:textId="77777777" w:rsidR="006219DA" w:rsidRPr="0060756D" w:rsidRDefault="006219DA" w:rsidP="000C3E92">
            <w:pPr>
              <w:pStyle w:val="NoSpacing"/>
              <w:rPr>
                <w:rFonts w:ascii="Arial" w:hAnsi="Arial" w:cs="Arial"/>
              </w:rPr>
            </w:pPr>
            <w:r w:rsidRPr="62385CB5">
              <w:rPr>
                <w:rFonts w:ascii="Arial" w:hAnsi="Arial" w:cs="Arial"/>
              </w:rPr>
              <w:t>Proportion of adults and older people receiving long term services who are supported in the community</w:t>
            </w:r>
          </w:p>
        </w:tc>
        <w:tc>
          <w:tcPr>
            <w:tcW w:w="1590" w:type="dxa"/>
            <w:tcBorders>
              <w:top w:val="single" w:sz="4" w:space="0" w:color="auto"/>
              <w:left w:val="single" w:sz="4" w:space="0" w:color="auto"/>
              <w:bottom w:val="single" w:sz="4" w:space="0" w:color="auto"/>
              <w:right w:val="single" w:sz="4" w:space="0" w:color="auto"/>
            </w:tcBorders>
            <w:hideMark/>
          </w:tcPr>
          <w:p w14:paraId="0C701B5C" w14:textId="77777777" w:rsidR="006219DA" w:rsidRPr="0060756D" w:rsidRDefault="006219DA" w:rsidP="000C3E92">
            <w:pPr>
              <w:pStyle w:val="NoSpacing"/>
              <w:rPr>
                <w:rFonts w:ascii="Arial" w:hAnsi="Arial" w:cs="Arial"/>
                <w:i/>
              </w:rPr>
            </w:pPr>
            <w:r w:rsidRPr="0060756D">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14:paraId="43D64B86" w14:textId="77777777" w:rsidR="006219DA" w:rsidRPr="0060756D" w:rsidRDefault="006219DA" w:rsidP="000C3E92">
            <w:pPr>
              <w:pStyle w:val="NoSpacing"/>
              <w:rPr>
                <w:rFonts w:ascii="Arial" w:hAnsi="Arial" w:cs="Arial"/>
              </w:rPr>
            </w:pPr>
            <w:r w:rsidRPr="0060756D">
              <w:rPr>
                <w:rFonts w:ascii="Arial" w:hAnsi="Arial" w:cs="Arial"/>
              </w:rPr>
              <w:t>Adults Services and Health and Wellbeing</w:t>
            </w:r>
          </w:p>
        </w:tc>
        <w:tc>
          <w:tcPr>
            <w:tcW w:w="1035" w:type="dxa"/>
            <w:tcBorders>
              <w:top w:val="single" w:sz="4" w:space="0" w:color="auto"/>
              <w:left w:val="single" w:sz="4" w:space="0" w:color="auto"/>
              <w:bottom w:val="single" w:sz="4" w:space="0" w:color="auto"/>
              <w:right w:val="single" w:sz="4" w:space="0" w:color="auto"/>
            </w:tcBorders>
          </w:tcPr>
          <w:p w14:paraId="0F1C28E0" w14:textId="77777777" w:rsidR="006219DA" w:rsidRPr="0060756D" w:rsidRDefault="006219DA" w:rsidP="000C3E92">
            <w:pPr>
              <w:pStyle w:val="NoSpacing"/>
              <w:rPr>
                <w:rFonts w:ascii="Arial" w:hAnsi="Arial" w:cs="Arial"/>
              </w:rPr>
            </w:pPr>
            <w:r w:rsidRPr="0060756D">
              <w:rPr>
                <w:rFonts w:ascii="Arial" w:hAnsi="Arial" w:cs="Arial"/>
              </w:rPr>
              <w:t>High</w:t>
            </w:r>
          </w:p>
        </w:tc>
        <w:tc>
          <w:tcPr>
            <w:tcW w:w="96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658E102" w14:textId="77777777" w:rsidR="006219DA" w:rsidRPr="0060756D" w:rsidRDefault="006219DA" w:rsidP="000C3E92">
            <w:pPr>
              <w:pStyle w:val="NoSpacing"/>
              <w:jc w:val="center"/>
              <w:rPr>
                <w:rFonts w:ascii="Arial" w:hAnsi="Arial" w:cs="Arial"/>
              </w:rPr>
            </w:pPr>
            <w:r w:rsidRPr="0060756D">
              <w:rPr>
                <w:rFonts w:ascii="Arial" w:hAnsi="Arial" w:cs="Arial"/>
              </w:rPr>
              <w:t>69.7%</w:t>
            </w:r>
          </w:p>
        </w:tc>
        <w:tc>
          <w:tcPr>
            <w:tcW w:w="156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BCD614" w14:textId="77777777" w:rsidR="006219DA" w:rsidRPr="0060756D" w:rsidRDefault="006219DA" w:rsidP="000C3E92">
            <w:pPr>
              <w:pStyle w:val="NoSpacing"/>
              <w:jc w:val="center"/>
              <w:rPr>
                <w:rFonts w:ascii="Arial" w:hAnsi="Arial" w:cs="Arial"/>
              </w:rPr>
            </w:pPr>
            <w:r w:rsidRPr="62385CB5">
              <w:rPr>
                <w:rFonts w:ascii="Arial" w:hAnsi="Arial" w:cs="Arial"/>
              </w:rPr>
              <w:t>72.3%</w:t>
            </w:r>
          </w:p>
        </w:tc>
        <w:tc>
          <w:tcPr>
            <w:tcW w:w="15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6D9AA1" w14:textId="77777777" w:rsidR="006219DA" w:rsidRPr="0060756D" w:rsidRDefault="006219DA" w:rsidP="000C3E92">
            <w:pPr>
              <w:pStyle w:val="NoSpacing"/>
              <w:jc w:val="center"/>
              <w:rPr>
                <w:rFonts w:ascii="Arial" w:hAnsi="Arial" w:cs="Arial"/>
              </w:rPr>
            </w:pPr>
            <w:r w:rsidRPr="62385CB5">
              <w:rPr>
                <w:rFonts w:ascii="Arial" w:hAnsi="Arial" w:cs="Arial"/>
              </w:rPr>
              <w:t>71.5%</w:t>
            </w:r>
          </w:p>
        </w:tc>
        <w:tc>
          <w:tcPr>
            <w:tcW w:w="12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CD1D268" w14:textId="77777777" w:rsidR="006219DA" w:rsidRPr="62385CB5" w:rsidRDefault="006219DA" w:rsidP="000C3E92">
            <w:pPr>
              <w:pStyle w:val="NoSpacing"/>
              <w:jc w:val="center"/>
              <w:rPr>
                <w:rFonts w:ascii="Arial" w:hAnsi="Arial" w:cs="Arial"/>
              </w:rPr>
            </w:pPr>
            <w:r>
              <w:rPr>
                <w:rFonts w:ascii="Arial" w:hAnsi="Arial" w:cs="Arial"/>
              </w:rPr>
              <w:t>71.7%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88190EF" w14:textId="77777777" w:rsidR="006219DA" w:rsidRPr="0060756D" w:rsidRDefault="006219DA" w:rsidP="000C3E92">
            <w:pPr>
              <w:pStyle w:val="NoSpacing"/>
              <w:jc w:val="center"/>
              <w:rPr>
                <w:rFonts w:ascii="Arial" w:hAnsi="Arial" w:cs="Arial"/>
              </w:rPr>
            </w:pPr>
            <w:r w:rsidRPr="62385CB5">
              <w:rPr>
                <w:rFonts w:ascii="Arial" w:hAnsi="Arial" w:cs="Arial"/>
              </w:rPr>
              <w:t>72%</w:t>
            </w:r>
          </w:p>
        </w:tc>
      </w:tr>
      <w:tr w:rsidR="006219DA" w14:paraId="78B1F54B" w14:textId="77777777" w:rsidTr="000C3E92">
        <w:trPr>
          <w:trHeight w:val="69"/>
        </w:trPr>
        <w:tc>
          <w:tcPr>
            <w:tcW w:w="2940" w:type="dxa"/>
            <w:tcBorders>
              <w:top w:val="single" w:sz="4" w:space="0" w:color="auto"/>
              <w:left w:val="single" w:sz="4" w:space="0" w:color="auto"/>
              <w:bottom w:val="single" w:sz="4" w:space="0" w:color="auto"/>
              <w:right w:val="single" w:sz="4" w:space="0" w:color="auto"/>
            </w:tcBorders>
            <w:hideMark/>
          </w:tcPr>
          <w:p w14:paraId="2B001316" w14:textId="77777777" w:rsidR="006219DA" w:rsidRPr="0060756D" w:rsidRDefault="006219DA" w:rsidP="000C3E92">
            <w:pPr>
              <w:pStyle w:val="NoSpacing"/>
              <w:rPr>
                <w:rFonts w:ascii="Arial" w:hAnsi="Arial" w:cs="Arial"/>
                <w:color w:val="000000"/>
              </w:rPr>
            </w:pPr>
            <w:r w:rsidRPr="0060756D">
              <w:rPr>
                <w:rFonts w:ascii="Arial" w:hAnsi="Arial" w:cs="Arial"/>
              </w:rPr>
              <w:t xml:space="preserve">Permanent admissions to residential and nursing care homes per 100,000 population aged 18-64 during the year </w:t>
            </w:r>
          </w:p>
        </w:tc>
        <w:tc>
          <w:tcPr>
            <w:tcW w:w="1590" w:type="dxa"/>
            <w:tcBorders>
              <w:top w:val="single" w:sz="4" w:space="0" w:color="auto"/>
              <w:left w:val="single" w:sz="4" w:space="0" w:color="auto"/>
              <w:bottom w:val="single" w:sz="4" w:space="0" w:color="auto"/>
              <w:right w:val="single" w:sz="4" w:space="0" w:color="auto"/>
            </w:tcBorders>
            <w:hideMark/>
          </w:tcPr>
          <w:p w14:paraId="3CE8F59B" w14:textId="77777777" w:rsidR="006219DA" w:rsidRDefault="006219DA" w:rsidP="000C3E92">
            <w:pPr>
              <w:pStyle w:val="NoSpacing"/>
              <w:rPr>
                <w:rFonts w:ascii="Arial" w:hAnsi="Arial" w:cs="Arial"/>
              </w:rPr>
            </w:pPr>
          </w:p>
          <w:p w14:paraId="50230124" w14:textId="77777777" w:rsidR="006219DA" w:rsidRDefault="006219DA" w:rsidP="000C3E92">
            <w:pPr>
              <w:pStyle w:val="NoSpacing"/>
              <w:rPr>
                <w:rFonts w:ascii="Arial" w:hAnsi="Arial" w:cs="Arial"/>
              </w:rPr>
            </w:pPr>
          </w:p>
          <w:p w14:paraId="69EFA701" w14:textId="77777777" w:rsidR="006219DA" w:rsidRPr="0060756D" w:rsidRDefault="006219DA" w:rsidP="000C3E92">
            <w:pPr>
              <w:pStyle w:val="NoSpacing"/>
              <w:rPr>
                <w:rFonts w:ascii="Arial" w:hAnsi="Arial" w:cs="Arial"/>
              </w:rPr>
            </w:pPr>
            <w:r w:rsidRPr="0060756D">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14:paraId="29E6C4E8" w14:textId="77777777" w:rsidR="006219DA" w:rsidRPr="0060756D" w:rsidRDefault="006219DA" w:rsidP="000C3E92">
            <w:pPr>
              <w:pStyle w:val="NoSpacing"/>
              <w:rPr>
                <w:rFonts w:ascii="Arial" w:hAnsi="Arial" w:cs="Arial"/>
              </w:rPr>
            </w:pPr>
            <w:r w:rsidRPr="0060756D">
              <w:rPr>
                <w:rFonts w:ascii="Arial" w:hAnsi="Arial" w:cs="Arial"/>
              </w:rPr>
              <w:t>Adults Services and Health and Wellbeing</w:t>
            </w:r>
          </w:p>
        </w:tc>
        <w:tc>
          <w:tcPr>
            <w:tcW w:w="1035" w:type="dxa"/>
            <w:tcBorders>
              <w:top w:val="single" w:sz="4" w:space="0" w:color="auto"/>
              <w:left w:val="single" w:sz="4" w:space="0" w:color="auto"/>
              <w:bottom w:val="single" w:sz="4" w:space="0" w:color="auto"/>
              <w:right w:val="single" w:sz="4" w:space="0" w:color="auto"/>
            </w:tcBorders>
          </w:tcPr>
          <w:p w14:paraId="151CAF35" w14:textId="77777777" w:rsidR="006219DA" w:rsidRPr="0060756D" w:rsidRDefault="006219DA" w:rsidP="000C3E92">
            <w:pPr>
              <w:pStyle w:val="NoSpacing"/>
              <w:rPr>
                <w:rFonts w:ascii="Arial" w:hAnsi="Arial" w:cs="Arial"/>
              </w:rPr>
            </w:pPr>
            <w:r w:rsidRPr="0060756D">
              <w:rPr>
                <w:rFonts w:ascii="Arial" w:hAnsi="Arial" w:cs="Arial"/>
              </w:rPr>
              <w:t>Low</w:t>
            </w:r>
          </w:p>
        </w:tc>
        <w:tc>
          <w:tcPr>
            <w:tcW w:w="96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87A3D34" w14:textId="77777777" w:rsidR="006219DA" w:rsidRPr="0060756D" w:rsidRDefault="006219DA" w:rsidP="000C3E92">
            <w:pPr>
              <w:pStyle w:val="NoSpacing"/>
              <w:jc w:val="center"/>
              <w:rPr>
                <w:rFonts w:ascii="Arial" w:hAnsi="Arial" w:cs="Arial"/>
              </w:rPr>
            </w:pPr>
            <w:r w:rsidRPr="0060756D">
              <w:rPr>
                <w:rFonts w:ascii="Arial" w:hAnsi="Arial" w:cs="Arial"/>
              </w:rPr>
              <w:t>15.2</w:t>
            </w:r>
          </w:p>
        </w:tc>
        <w:tc>
          <w:tcPr>
            <w:tcW w:w="156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8AA92A" w14:textId="77777777" w:rsidR="006219DA" w:rsidRPr="0060756D" w:rsidRDefault="006219DA" w:rsidP="000C3E92">
            <w:pPr>
              <w:pStyle w:val="NoSpacing"/>
              <w:jc w:val="center"/>
              <w:rPr>
                <w:rFonts w:ascii="Arial" w:hAnsi="Arial" w:cs="Arial"/>
              </w:rPr>
            </w:pPr>
            <w:r w:rsidRPr="62385CB5">
              <w:rPr>
                <w:rFonts w:ascii="Arial" w:hAnsi="Arial" w:cs="Arial"/>
              </w:rPr>
              <w:t>12.2</w:t>
            </w:r>
          </w:p>
        </w:tc>
        <w:tc>
          <w:tcPr>
            <w:tcW w:w="15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888FB7" w14:textId="77777777" w:rsidR="006219DA" w:rsidRPr="0060756D" w:rsidRDefault="006219DA" w:rsidP="000C3E92">
            <w:pPr>
              <w:pStyle w:val="NoSpacing"/>
              <w:jc w:val="center"/>
              <w:rPr>
                <w:rFonts w:ascii="Arial" w:hAnsi="Arial" w:cs="Arial"/>
              </w:rPr>
            </w:pPr>
            <w:r w:rsidRPr="62385CB5">
              <w:rPr>
                <w:rFonts w:ascii="Arial" w:hAnsi="Arial" w:cs="Arial"/>
              </w:rPr>
              <w:t>13.3</w:t>
            </w:r>
          </w:p>
        </w:tc>
        <w:tc>
          <w:tcPr>
            <w:tcW w:w="12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FFE490F" w14:textId="77777777" w:rsidR="006219DA" w:rsidRPr="62385CB5" w:rsidRDefault="006219DA" w:rsidP="000C3E92">
            <w:pPr>
              <w:pStyle w:val="NoSpacing"/>
              <w:jc w:val="center"/>
              <w:rPr>
                <w:rFonts w:ascii="Arial" w:hAnsi="Arial" w:cs="Arial"/>
              </w:rPr>
            </w:pPr>
            <w:r>
              <w:rPr>
                <w:rFonts w:ascii="Arial" w:hAnsi="Arial" w:cs="Arial"/>
              </w:rPr>
              <w:t>13.3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945754D" w14:textId="77777777" w:rsidR="006219DA" w:rsidRPr="0060756D" w:rsidRDefault="006219DA" w:rsidP="000C3E92">
            <w:pPr>
              <w:pStyle w:val="NoSpacing"/>
              <w:jc w:val="center"/>
              <w:rPr>
                <w:rFonts w:ascii="Arial" w:hAnsi="Arial" w:cs="Arial"/>
              </w:rPr>
            </w:pPr>
            <w:r w:rsidRPr="62385CB5">
              <w:rPr>
                <w:rFonts w:ascii="Arial" w:hAnsi="Arial" w:cs="Arial"/>
              </w:rPr>
              <w:t>13.6</w:t>
            </w:r>
          </w:p>
        </w:tc>
      </w:tr>
      <w:tr w:rsidR="006219DA" w14:paraId="27CE443C" w14:textId="77777777" w:rsidTr="000C3E92">
        <w:trPr>
          <w:trHeight w:val="1251"/>
        </w:trPr>
        <w:tc>
          <w:tcPr>
            <w:tcW w:w="2940" w:type="dxa"/>
            <w:tcBorders>
              <w:top w:val="single" w:sz="4" w:space="0" w:color="auto"/>
              <w:left w:val="single" w:sz="4" w:space="0" w:color="auto"/>
              <w:bottom w:val="single" w:sz="4" w:space="0" w:color="auto"/>
              <w:right w:val="single" w:sz="4" w:space="0" w:color="auto"/>
            </w:tcBorders>
            <w:hideMark/>
          </w:tcPr>
          <w:p w14:paraId="5E1C34DB" w14:textId="77777777" w:rsidR="006219DA" w:rsidRPr="0060756D" w:rsidRDefault="006219DA" w:rsidP="000C3E92">
            <w:pPr>
              <w:pStyle w:val="NoSpacing"/>
              <w:rPr>
                <w:rFonts w:ascii="Arial" w:hAnsi="Arial" w:cs="Arial"/>
                <w:b/>
              </w:rPr>
            </w:pPr>
            <w:r w:rsidRPr="0060756D">
              <w:rPr>
                <w:rFonts w:ascii="Arial" w:hAnsi="Arial" w:cs="Arial"/>
              </w:rPr>
              <w:t>Permanent admissions to residential and nursing care homes per 100,000 population aged 65+ during the year</w:t>
            </w:r>
          </w:p>
        </w:tc>
        <w:tc>
          <w:tcPr>
            <w:tcW w:w="1590" w:type="dxa"/>
            <w:tcBorders>
              <w:top w:val="single" w:sz="4" w:space="0" w:color="auto"/>
              <w:left w:val="single" w:sz="4" w:space="0" w:color="auto"/>
              <w:bottom w:val="single" w:sz="4" w:space="0" w:color="auto"/>
              <w:right w:val="single" w:sz="4" w:space="0" w:color="auto"/>
            </w:tcBorders>
            <w:hideMark/>
          </w:tcPr>
          <w:p w14:paraId="7B24A413" w14:textId="77777777" w:rsidR="006219DA" w:rsidRPr="0060756D" w:rsidRDefault="006219DA" w:rsidP="000C3E92">
            <w:pPr>
              <w:pStyle w:val="NoSpacing"/>
              <w:rPr>
                <w:rFonts w:ascii="Arial" w:hAnsi="Arial" w:cs="Arial"/>
                <w:i/>
              </w:rPr>
            </w:pPr>
            <w:r w:rsidRPr="0060756D">
              <w:rPr>
                <w:rFonts w:ascii="Arial" w:hAnsi="Arial" w:cs="Arial"/>
              </w:rPr>
              <w:t>Quarterly</w:t>
            </w:r>
          </w:p>
        </w:tc>
        <w:tc>
          <w:tcPr>
            <w:tcW w:w="1560" w:type="dxa"/>
            <w:tcBorders>
              <w:top w:val="single" w:sz="4" w:space="0" w:color="auto"/>
              <w:left w:val="single" w:sz="4" w:space="0" w:color="auto"/>
              <w:bottom w:val="single" w:sz="4" w:space="0" w:color="auto"/>
              <w:right w:val="single" w:sz="4" w:space="0" w:color="auto"/>
            </w:tcBorders>
          </w:tcPr>
          <w:p w14:paraId="47B76A08" w14:textId="77777777" w:rsidR="006219DA" w:rsidRPr="0060756D" w:rsidRDefault="006219DA" w:rsidP="000C3E92">
            <w:pPr>
              <w:pStyle w:val="NoSpacing"/>
              <w:rPr>
                <w:rFonts w:ascii="Arial" w:hAnsi="Arial" w:cs="Arial"/>
              </w:rPr>
            </w:pPr>
            <w:r w:rsidRPr="0060756D">
              <w:rPr>
                <w:rFonts w:ascii="Arial" w:hAnsi="Arial" w:cs="Arial"/>
              </w:rPr>
              <w:t>Adults Services and Health and Wellbeing</w:t>
            </w:r>
          </w:p>
        </w:tc>
        <w:tc>
          <w:tcPr>
            <w:tcW w:w="1035" w:type="dxa"/>
            <w:tcBorders>
              <w:top w:val="single" w:sz="4" w:space="0" w:color="auto"/>
              <w:left w:val="single" w:sz="4" w:space="0" w:color="auto"/>
              <w:bottom w:val="single" w:sz="4" w:space="0" w:color="auto"/>
              <w:right w:val="single" w:sz="4" w:space="0" w:color="auto"/>
            </w:tcBorders>
          </w:tcPr>
          <w:p w14:paraId="626B9BEE" w14:textId="77777777" w:rsidR="006219DA" w:rsidRPr="0060756D" w:rsidRDefault="006219DA" w:rsidP="000C3E92">
            <w:pPr>
              <w:pStyle w:val="NoSpacing"/>
              <w:rPr>
                <w:rFonts w:ascii="Arial" w:hAnsi="Arial" w:cs="Arial"/>
              </w:rPr>
            </w:pPr>
            <w:r w:rsidRPr="0060756D">
              <w:rPr>
                <w:rFonts w:ascii="Arial" w:hAnsi="Arial" w:cs="Arial"/>
              </w:rPr>
              <w:t>Low</w:t>
            </w:r>
          </w:p>
        </w:tc>
        <w:tc>
          <w:tcPr>
            <w:tcW w:w="960" w:type="dxa"/>
            <w:tcBorders>
              <w:top w:val="single" w:sz="4" w:space="0" w:color="auto"/>
              <w:left w:val="single" w:sz="4" w:space="0" w:color="auto"/>
              <w:bottom w:val="single" w:sz="4" w:space="0" w:color="auto"/>
              <w:right w:val="single" w:sz="4" w:space="0" w:color="auto"/>
            </w:tcBorders>
            <w:shd w:val="clear" w:color="auto" w:fill="FF0000"/>
          </w:tcPr>
          <w:p w14:paraId="5549F04C" w14:textId="77777777" w:rsidR="006219DA" w:rsidRPr="0060756D" w:rsidRDefault="006219DA" w:rsidP="000C3E92">
            <w:pPr>
              <w:pStyle w:val="NoSpacing"/>
              <w:jc w:val="center"/>
              <w:rPr>
                <w:rFonts w:ascii="Arial" w:hAnsi="Arial" w:cs="Arial"/>
              </w:rPr>
            </w:pPr>
            <w:r w:rsidRPr="0060756D">
              <w:rPr>
                <w:rFonts w:ascii="Arial" w:hAnsi="Arial" w:cs="Arial"/>
              </w:rPr>
              <w:t>672.6</w:t>
            </w:r>
          </w:p>
        </w:tc>
        <w:tc>
          <w:tcPr>
            <w:tcW w:w="156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947099" w14:textId="77777777" w:rsidR="006219DA" w:rsidRPr="0060756D" w:rsidRDefault="006219DA" w:rsidP="000C3E92">
            <w:pPr>
              <w:pStyle w:val="NoSpacing"/>
              <w:jc w:val="center"/>
              <w:rPr>
                <w:rFonts w:ascii="Arial" w:hAnsi="Arial" w:cs="Arial"/>
              </w:rPr>
            </w:pPr>
            <w:r w:rsidRPr="62385CB5">
              <w:rPr>
                <w:rFonts w:ascii="Arial" w:hAnsi="Arial" w:cs="Arial"/>
              </w:rPr>
              <w:t>482.2</w:t>
            </w:r>
          </w:p>
        </w:tc>
        <w:tc>
          <w:tcPr>
            <w:tcW w:w="15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B06105" w14:textId="77777777" w:rsidR="006219DA" w:rsidRPr="0060756D" w:rsidRDefault="006219DA" w:rsidP="000C3E92">
            <w:pPr>
              <w:pStyle w:val="NoSpacing"/>
              <w:jc w:val="center"/>
              <w:rPr>
                <w:rFonts w:ascii="Arial" w:hAnsi="Arial" w:cs="Arial"/>
              </w:rPr>
            </w:pPr>
            <w:r w:rsidRPr="62385CB5">
              <w:rPr>
                <w:rFonts w:ascii="Arial" w:hAnsi="Arial" w:cs="Arial"/>
              </w:rPr>
              <w:t>589.6</w:t>
            </w:r>
          </w:p>
        </w:tc>
        <w:tc>
          <w:tcPr>
            <w:tcW w:w="12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E86C292" w14:textId="77777777" w:rsidR="006219DA" w:rsidRPr="62385CB5" w:rsidRDefault="006219DA" w:rsidP="000C3E92">
            <w:pPr>
              <w:pStyle w:val="NoSpacing"/>
              <w:jc w:val="center"/>
              <w:rPr>
                <w:rFonts w:ascii="Arial" w:hAnsi="Arial" w:cs="Arial"/>
              </w:rPr>
            </w:pPr>
            <w:r>
              <w:rPr>
                <w:rFonts w:ascii="Arial" w:hAnsi="Arial" w:cs="Arial"/>
              </w:rPr>
              <w:t>662.2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2E35F5D" w14:textId="77777777" w:rsidR="006219DA" w:rsidRPr="0060756D" w:rsidRDefault="006219DA" w:rsidP="000C3E92">
            <w:pPr>
              <w:pStyle w:val="NoSpacing"/>
              <w:jc w:val="center"/>
              <w:rPr>
                <w:rFonts w:ascii="Arial" w:hAnsi="Arial" w:cs="Arial"/>
              </w:rPr>
            </w:pPr>
            <w:r>
              <w:rPr>
                <w:rFonts w:ascii="Arial" w:hAnsi="Arial" w:cs="Arial"/>
              </w:rPr>
              <w:t>600-680</w:t>
            </w:r>
          </w:p>
        </w:tc>
      </w:tr>
    </w:tbl>
    <w:p w14:paraId="2F1C7648" w14:textId="77777777" w:rsidR="006219DA" w:rsidRPr="0060756D" w:rsidRDefault="006219DA" w:rsidP="006219DA">
      <w:pPr>
        <w:pStyle w:val="NoSpacing"/>
        <w:jc w:val="both"/>
        <w:rPr>
          <w:rFonts w:ascii="Arial" w:hAnsi="Arial" w:cs="Helvetica-Light"/>
          <w:color w:val="000000"/>
          <w:sz w:val="24"/>
          <w:szCs w:val="24"/>
          <w:lang w:eastAsia="en-GB"/>
        </w:rPr>
      </w:pPr>
    </w:p>
    <w:p w14:paraId="71F282BE" w14:textId="77777777" w:rsidR="006219DA" w:rsidRPr="00013124" w:rsidRDefault="006219DA" w:rsidP="006219DA">
      <w:pPr>
        <w:rPr>
          <w:rFonts w:cs="Arial"/>
        </w:rPr>
      </w:pPr>
      <w:bookmarkStart w:id="5" w:name="_Hlk87007780"/>
      <w:r w:rsidRPr="00A32E21">
        <w:rPr>
          <w:rFonts w:cs="Arial"/>
          <w:b/>
          <w:bCs/>
        </w:rPr>
        <w:t>Percentage of older people (65 and over) who were still at home 91 days after discharge from hospital into reablement/rehabilitation services</w:t>
      </w:r>
      <w:r w:rsidRPr="00A32E21">
        <w:rPr>
          <w:rFonts w:cs="Arial"/>
        </w:rPr>
        <w:t>. The number of older people who are still at home 91 days after discharge</w:t>
      </w:r>
      <w:r>
        <w:rPr>
          <w:rFonts w:cs="Arial"/>
        </w:rPr>
        <w:t xml:space="preserve"> (85.2%)</w:t>
      </w:r>
      <w:r w:rsidRPr="00A32E21">
        <w:rPr>
          <w:rFonts w:cs="Arial"/>
        </w:rPr>
        <w:t xml:space="preserve"> is above the national average of 82.0% and the regional average of 82.2%.  </w:t>
      </w:r>
      <w:r>
        <w:rPr>
          <w:rFonts w:cs="Arial"/>
        </w:rPr>
        <w:t>This indicator varies throughout the year, with seasonal issues impacting on the overall success rate.</w:t>
      </w:r>
    </w:p>
    <w:bookmarkEnd w:id="5"/>
    <w:p w14:paraId="7F8EA403" w14:textId="77777777" w:rsidR="006219DA" w:rsidRPr="00215954" w:rsidRDefault="006219DA" w:rsidP="006219DA">
      <w:pPr>
        <w:pStyle w:val="NoSpacing"/>
        <w:jc w:val="both"/>
        <w:rPr>
          <w:rFonts w:ascii="Arial" w:hAnsi="Arial" w:cs="Arial"/>
          <w:sz w:val="24"/>
          <w:szCs w:val="24"/>
        </w:rPr>
      </w:pPr>
      <w:r>
        <w:rPr>
          <w:rFonts w:ascii="Arial" w:hAnsi="Arial" w:cs="Arial"/>
          <w:sz w:val="24"/>
          <w:szCs w:val="24"/>
        </w:rPr>
        <w:lastRenderedPageBreak/>
        <w:t xml:space="preserve">The </w:t>
      </w:r>
      <w:r w:rsidRPr="00215954">
        <w:rPr>
          <w:rFonts w:ascii="Arial" w:hAnsi="Arial" w:cs="Arial"/>
          <w:sz w:val="24"/>
          <w:szCs w:val="24"/>
        </w:rPr>
        <w:t xml:space="preserve">council </w:t>
      </w:r>
      <w:r>
        <w:rPr>
          <w:rFonts w:ascii="Arial" w:hAnsi="Arial" w:cs="Arial"/>
          <w:sz w:val="24"/>
          <w:szCs w:val="24"/>
        </w:rPr>
        <w:t>has</w:t>
      </w:r>
      <w:r w:rsidRPr="00215954">
        <w:rPr>
          <w:rFonts w:ascii="Arial" w:hAnsi="Arial" w:cs="Arial"/>
          <w:sz w:val="24"/>
          <w:szCs w:val="24"/>
        </w:rPr>
        <w:t xml:space="preserve"> significant working relationships with 5 main hospital trusts spread over 8 sites and those arrangements continued throughout the last year including the hospital discharge arrangements during the pandemic.  Ease and timeliness of data capture varied between hospitals and there were often considerable time lags between discharges organised by the NHS occurring and the data being shared with the council to enable assessments to occur. </w:t>
      </w:r>
    </w:p>
    <w:p w14:paraId="1E3703FF" w14:textId="77777777" w:rsidR="006219DA" w:rsidRDefault="006219DA" w:rsidP="006219DA">
      <w:pPr>
        <w:pStyle w:val="NoSpacing"/>
        <w:rPr>
          <w:rFonts w:ascii="Arial" w:hAnsi="Arial" w:cs="Arial"/>
        </w:rPr>
      </w:pPr>
    </w:p>
    <w:p w14:paraId="3FA11FAF" w14:textId="77777777" w:rsidR="006219DA" w:rsidRPr="0097735E" w:rsidRDefault="006219DA" w:rsidP="006219DA">
      <w:pPr>
        <w:pStyle w:val="NoSpacing"/>
        <w:rPr>
          <w:rFonts w:ascii="Arial" w:hAnsi="Arial" w:cs="Arial"/>
          <w:b/>
          <w:bCs/>
          <w:sz w:val="24"/>
          <w:szCs w:val="24"/>
        </w:rPr>
      </w:pPr>
      <w:r w:rsidRPr="0097735E">
        <w:rPr>
          <w:rFonts w:ascii="Arial" w:hAnsi="Arial" w:cs="Arial"/>
          <w:b/>
          <w:bCs/>
          <w:sz w:val="24"/>
          <w:szCs w:val="24"/>
        </w:rPr>
        <w:t>Proportion of adults with learning disabilities who live in their own home</w:t>
      </w:r>
    </w:p>
    <w:p w14:paraId="23495272" w14:textId="77777777" w:rsidR="006219DA" w:rsidRPr="00EC27F5" w:rsidRDefault="006219DA" w:rsidP="006219DA">
      <w:pPr>
        <w:rPr>
          <w:rFonts w:ascii="Calibri" w:eastAsiaTheme="minorHAnsi" w:hAnsi="Calibri" w:cs="Calibri"/>
          <w:color w:val="auto"/>
          <w:sz w:val="22"/>
          <w:szCs w:val="22"/>
        </w:rPr>
      </w:pPr>
      <w:r w:rsidRPr="0097735E">
        <w:rPr>
          <w:color w:val="auto"/>
        </w:rPr>
        <w:t xml:space="preserve">Current performance is above target for the year and significantly above the national average of 77.3%. The reported reduction in performance for quarter 1 initiated a deep dive of the quality of our data recorded in our client database, as the trend did not appear to be representative of what was happening in Lancashire. This data cleansing exercise revealed a significant number of service users where the required information had not been recorded. </w:t>
      </w:r>
      <w:r>
        <w:rPr>
          <w:color w:val="auto"/>
        </w:rPr>
        <w:t>P</w:t>
      </w:r>
      <w:r w:rsidRPr="0097735E">
        <w:rPr>
          <w:color w:val="auto"/>
        </w:rPr>
        <w:t xml:space="preserve">erformance </w:t>
      </w:r>
      <w:r>
        <w:rPr>
          <w:color w:val="auto"/>
        </w:rPr>
        <w:t>reflects</w:t>
      </w:r>
      <w:r w:rsidRPr="0097735E">
        <w:rPr>
          <w:color w:val="auto"/>
        </w:rPr>
        <w:t xml:space="preserve"> Lancashire County Council</w:t>
      </w:r>
      <w:r>
        <w:rPr>
          <w:color w:val="auto"/>
        </w:rPr>
        <w:t xml:space="preserve">'s </w:t>
      </w:r>
      <w:r w:rsidRPr="0097735E">
        <w:rPr>
          <w:color w:val="auto"/>
        </w:rPr>
        <w:t>commit</w:t>
      </w:r>
      <w:r>
        <w:rPr>
          <w:color w:val="auto"/>
        </w:rPr>
        <w:t>ment</w:t>
      </w:r>
      <w:r w:rsidRPr="0097735E">
        <w:rPr>
          <w:color w:val="auto"/>
        </w:rPr>
        <w:t xml:space="preserve"> to ensuring that people who have a learning disability and/or autism are supported to live as independently as possible. Work has been undertaken to offer people a supported living option where possible and placement in residential care is not </w:t>
      </w:r>
      <w:r>
        <w:rPr>
          <w:color w:val="auto"/>
        </w:rPr>
        <w:t xml:space="preserve">the </w:t>
      </w:r>
      <w:r w:rsidRPr="0097735E">
        <w:rPr>
          <w:color w:val="auto"/>
        </w:rPr>
        <w:t xml:space="preserve">preferred model of support. </w:t>
      </w:r>
    </w:p>
    <w:p w14:paraId="4EEC9909" w14:textId="77777777" w:rsidR="006219DA" w:rsidRPr="00C70B46" w:rsidRDefault="006219DA" w:rsidP="006219DA">
      <w:pPr>
        <w:pStyle w:val="NoSpacing"/>
        <w:jc w:val="both"/>
        <w:rPr>
          <w:rFonts w:ascii="Arial" w:hAnsi="Arial" w:cs="Arial"/>
          <w:sz w:val="24"/>
          <w:szCs w:val="24"/>
        </w:rPr>
      </w:pPr>
      <w:r w:rsidRPr="00C70B46">
        <w:rPr>
          <w:rFonts w:ascii="Arial" w:hAnsi="Arial" w:cs="Arial"/>
          <w:b/>
          <w:bCs/>
          <w:sz w:val="24"/>
          <w:szCs w:val="24"/>
        </w:rPr>
        <w:t>Proportion of adults and older people receiving long term services who are supported in the community</w:t>
      </w:r>
      <w:r w:rsidRPr="00C70B46">
        <w:rPr>
          <w:rFonts w:ascii="Arial" w:hAnsi="Arial" w:cs="Arial"/>
          <w:sz w:val="24"/>
          <w:szCs w:val="24"/>
        </w:rPr>
        <w:t xml:space="preserve">. The proportion of people receiving long term services supported in the community is just under target at </w:t>
      </w:r>
      <w:r>
        <w:rPr>
          <w:rFonts w:ascii="Arial" w:hAnsi="Arial" w:cs="Arial"/>
          <w:sz w:val="24"/>
          <w:szCs w:val="24"/>
        </w:rPr>
        <w:t>Q</w:t>
      </w:r>
      <w:r w:rsidRPr="00C70B46">
        <w:rPr>
          <w:rFonts w:ascii="Arial" w:hAnsi="Arial" w:cs="Arial"/>
          <w:sz w:val="24"/>
          <w:szCs w:val="24"/>
        </w:rPr>
        <w:t>2. The pandemic reduced the number of people admitted to residential care, but as measures have relaxed this is impacting those supported in the community</w:t>
      </w:r>
      <w:r>
        <w:rPr>
          <w:rFonts w:ascii="Arial" w:hAnsi="Arial" w:cs="Arial"/>
          <w:sz w:val="24"/>
          <w:szCs w:val="24"/>
        </w:rPr>
        <w:t xml:space="preserve">, hence </w:t>
      </w:r>
      <w:r w:rsidRPr="00C70B46">
        <w:rPr>
          <w:rFonts w:ascii="Arial" w:hAnsi="Arial" w:cs="Arial"/>
          <w:sz w:val="24"/>
          <w:szCs w:val="24"/>
        </w:rPr>
        <w:t>more are returning to a residential setting</w:t>
      </w:r>
      <w:r>
        <w:rPr>
          <w:rFonts w:ascii="Arial" w:hAnsi="Arial" w:cs="Arial"/>
          <w:sz w:val="24"/>
          <w:szCs w:val="24"/>
        </w:rPr>
        <w:t xml:space="preserve"> to meet their needs.</w:t>
      </w:r>
    </w:p>
    <w:p w14:paraId="65B7BBE5" w14:textId="77777777" w:rsidR="006219DA" w:rsidRPr="00CD372D" w:rsidRDefault="006219DA" w:rsidP="006219DA">
      <w:pPr>
        <w:pStyle w:val="NoSpacing"/>
        <w:rPr>
          <w:rFonts w:ascii="Arial" w:hAnsi="Arial" w:cs="Arial"/>
          <w:highlight w:val="yellow"/>
        </w:rPr>
      </w:pPr>
    </w:p>
    <w:p w14:paraId="54B020EC" w14:textId="77777777" w:rsidR="006219DA" w:rsidRPr="00F54FE0" w:rsidRDefault="006219DA" w:rsidP="006219DA">
      <w:pPr>
        <w:pStyle w:val="NoSpacing"/>
        <w:jc w:val="both"/>
        <w:rPr>
          <w:rFonts w:ascii="Arial" w:hAnsi="Arial" w:cs="Arial"/>
          <w:sz w:val="24"/>
          <w:szCs w:val="24"/>
        </w:rPr>
      </w:pPr>
      <w:r w:rsidRPr="00F54FE0">
        <w:rPr>
          <w:rFonts w:ascii="Arial" w:hAnsi="Arial" w:cs="Arial"/>
          <w:b/>
          <w:bCs/>
          <w:sz w:val="24"/>
          <w:szCs w:val="24"/>
        </w:rPr>
        <w:t>Permanent admissions to residential and nursing care homes per 100,000 population aged 18-64 during the year</w:t>
      </w:r>
      <w:r w:rsidRPr="00F54FE0">
        <w:rPr>
          <w:rFonts w:ascii="Arial" w:hAnsi="Arial" w:cs="Arial"/>
          <w:sz w:val="24"/>
          <w:szCs w:val="24"/>
        </w:rPr>
        <w:t xml:space="preserve">.  </w:t>
      </w:r>
      <w:r>
        <w:rPr>
          <w:rFonts w:ascii="Arial" w:hAnsi="Arial" w:cs="Arial"/>
          <w:sz w:val="24"/>
          <w:szCs w:val="24"/>
        </w:rPr>
        <w:t xml:space="preserve">Admission rates for people aged 18-64 remain lower than the </w:t>
      </w:r>
      <w:r w:rsidRPr="00F54FE0">
        <w:rPr>
          <w:rFonts w:ascii="Arial" w:hAnsi="Arial" w:cs="Arial"/>
          <w:sz w:val="24"/>
          <w:szCs w:val="24"/>
        </w:rPr>
        <w:t>England average of 14.6</w:t>
      </w:r>
      <w:r>
        <w:rPr>
          <w:rFonts w:ascii="Arial" w:hAnsi="Arial" w:cs="Arial"/>
          <w:sz w:val="24"/>
          <w:szCs w:val="24"/>
        </w:rPr>
        <w:t>, and within target</w:t>
      </w:r>
      <w:r w:rsidRPr="00F54FE0">
        <w:rPr>
          <w:rFonts w:ascii="Arial" w:hAnsi="Arial" w:cs="Arial"/>
          <w:sz w:val="24"/>
          <w:szCs w:val="24"/>
        </w:rPr>
        <w:t xml:space="preserve">.  </w:t>
      </w:r>
    </w:p>
    <w:p w14:paraId="03EBEAAF" w14:textId="77777777" w:rsidR="006219DA" w:rsidRPr="00CD372D" w:rsidRDefault="006219DA" w:rsidP="006219DA">
      <w:pPr>
        <w:pStyle w:val="NoSpacing"/>
        <w:jc w:val="both"/>
        <w:rPr>
          <w:rFonts w:ascii="Arial" w:hAnsi="Arial" w:cs="Arial"/>
          <w:highlight w:val="yellow"/>
        </w:rPr>
      </w:pPr>
    </w:p>
    <w:p w14:paraId="0C96F319" w14:textId="77777777" w:rsidR="006219DA" w:rsidRPr="007F6027" w:rsidRDefault="006219DA" w:rsidP="006219DA">
      <w:pPr>
        <w:rPr>
          <w:color w:val="000000" w:themeColor="text1"/>
        </w:rPr>
      </w:pPr>
      <w:r w:rsidRPr="007F6027">
        <w:rPr>
          <w:rFonts w:eastAsia="Arial" w:cs="Arial"/>
          <w:b/>
          <w:bCs/>
        </w:rPr>
        <w:t>Permanent admissions to residential and nursing care homes per 100,000 population aged 65+ during the year</w:t>
      </w:r>
      <w:r w:rsidRPr="007F6027">
        <w:rPr>
          <w:rFonts w:eastAsia="Arial" w:cs="Arial"/>
        </w:rPr>
        <w:t xml:space="preserve">.  The number of older </w:t>
      </w:r>
      <w:r w:rsidRPr="007F6027">
        <w:rPr>
          <w:rFonts w:eastAsia="Arial" w:cs="Arial"/>
          <w:color w:val="000000" w:themeColor="text1"/>
        </w:rPr>
        <w:t>adults being admitted to a residential /nursing setting has increased significantly over the 2</w:t>
      </w:r>
      <w:r w:rsidRPr="007F6027">
        <w:rPr>
          <w:rFonts w:eastAsia="Arial" w:cs="Arial"/>
          <w:color w:val="000000" w:themeColor="text1"/>
          <w:vertAlign w:val="superscript"/>
        </w:rPr>
        <w:t xml:space="preserve">nd </w:t>
      </w:r>
      <w:r w:rsidRPr="007F6027">
        <w:rPr>
          <w:rFonts w:eastAsia="Arial" w:cs="Arial"/>
          <w:color w:val="000000" w:themeColor="text1"/>
        </w:rPr>
        <w:t xml:space="preserve">quarter; this is coupled with the number of people being discharged from hospital being very high.  The rise in admissions has been directly affected by the increase in Discharge to Assess (D2A) activity and lack of home care capacity, which directly impacts </w:t>
      </w:r>
      <w:r>
        <w:rPr>
          <w:rFonts w:eastAsia="Arial" w:cs="Arial"/>
          <w:color w:val="000000" w:themeColor="text1"/>
        </w:rPr>
        <w:t>s</w:t>
      </w:r>
      <w:r w:rsidRPr="007F6027">
        <w:rPr>
          <w:rFonts w:eastAsia="Arial" w:cs="Arial"/>
          <w:color w:val="000000" w:themeColor="text1"/>
        </w:rPr>
        <w:t>hort-</w:t>
      </w:r>
      <w:r>
        <w:rPr>
          <w:rFonts w:eastAsia="Arial" w:cs="Arial"/>
          <w:color w:val="000000" w:themeColor="text1"/>
        </w:rPr>
        <w:t>t</w:t>
      </w:r>
      <w:r w:rsidRPr="007F6027">
        <w:rPr>
          <w:rFonts w:eastAsia="Arial" w:cs="Arial"/>
          <w:color w:val="000000" w:themeColor="text1"/>
        </w:rPr>
        <w:t xml:space="preserve">erm and </w:t>
      </w:r>
      <w:r>
        <w:rPr>
          <w:rFonts w:eastAsia="Arial" w:cs="Arial"/>
          <w:color w:val="000000" w:themeColor="text1"/>
        </w:rPr>
        <w:t>l</w:t>
      </w:r>
      <w:r w:rsidRPr="007F6027">
        <w:rPr>
          <w:rFonts w:eastAsia="Arial" w:cs="Arial"/>
          <w:color w:val="000000" w:themeColor="text1"/>
        </w:rPr>
        <w:t>ong-</w:t>
      </w:r>
      <w:r>
        <w:rPr>
          <w:rFonts w:eastAsia="Arial" w:cs="Arial"/>
          <w:color w:val="000000" w:themeColor="text1"/>
        </w:rPr>
        <w:t>t</w:t>
      </w:r>
      <w:r w:rsidRPr="007F6027">
        <w:rPr>
          <w:rFonts w:eastAsia="Arial" w:cs="Arial"/>
          <w:color w:val="000000" w:themeColor="text1"/>
        </w:rPr>
        <w:t xml:space="preserve">erm </w:t>
      </w:r>
      <w:r>
        <w:rPr>
          <w:rFonts w:eastAsia="Arial" w:cs="Arial"/>
          <w:color w:val="000000" w:themeColor="text1"/>
        </w:rPr>
        <w:t>r</w:t>
      </w:r>
      <w:r w:rsidRPr="007F6027">
        <w:rPr>
          <w:rFonts w:eastAsia="Arial" w:cs="Arial"/>
          <w:color w:val="000000" w:themeColor="text1"/>
        </w:rPr>
        <w:t xml:space="preserve">esidential </w:t>
      </w:r>
      <w:r>
        <w:rPr>
          <w:rFonts w:eastAsia="Arial" w:cs="Arial"/>
          <w:color w:val="000000" w:themeColor="text1"/>
        </w:rPr>
        <w:t>c</w:t>
      </w:r>
      <w:r w:rsidRPr="007F6027">
        <w:rPr>
          <w:rFonts w:eastAsia="Arial" w:cs="Arial"/>
          <w:color w:val="000000" w:themeColor="text1"/>
        </w:rPr>
        <w:t xml:space="preserve">are </w:t>
      </w:r>
    </w:p>
    <w:p w14:paraId="15F8D06A" w14:textId="77777777" w:rsidR="006219DA" w:rsidRPr="00394DBF" w:rsidRDefault="006219DA" w:rsidP="006219DA">
      <w:pPr>
        <w:rPr>
          <w:rFonts w:cs="Arial"/>
          <w:color w:val="000000" w:themeColor="text1"/>
        </w:rPr>
      </w:pPr>
      <w:r w:rsidRPr="00DD550F">
        <w:rPr>
          <w:rFonts w:eastAsia="Arial" w:cs="Arial"/>
          <w:color w:val="000000" w:themeColor="text1"/>
        </w:rPr>
        <w:t>Admissions to residential and nursing homes across all age groups will continue to be monitored, as the impact of the pandemic on admissions is quantified. Many families have not considered care or residential homes for loved ones due to the significant restrictions on family contact.  The increase in admissions demonstrates that that more are returning to residential settings.</w:t>
      </w:r>
      <w:r>
        <w:rPr>
          <w:rFonts w:eastAsia="Arial" w:cs="Arial"/>
          <w:color w:val="000000" w:themeColor="text1"/>
        </w:rPr>
        <w:t xml:space="preserve"> </w:t>
      </w:r>
      <w:r w:rsidRPr="005A612B">
        <w:rPr>
          <w:rFonts w:cs="Arial"/>
          <w:color w:val="000000" w:themeColor="text1"/>
        </w:rPr>
        <w:t>There is potential for the number to continue to rise in Q3 as the NHS block book more care home beds and as the home care pressures increase further.</w:t>
      </w:r>
    </w:p>
    <w:p w14:paraId="05602D2E" w14:textId="77777777" w:rsidR="006219DA" w:rsidRPr="00F177C2" w:rsidRDefault="006219DA" w:rsidP="006219DA">
      <w:pPr>
        <w:rPr>
          <w:rFonts w:cs="Arial"/>
        </w:rPr>
      </w:pPr>
      <w:r w:rsidRPr="00F177C2">
        <w:rPr>
          <w:rFonts w:cs="Arial"/>
          <w:b/>
          <w:bCs/>
        </w:rPr>
        <w:lastRenderedPageBreak/>
        <w:t>Health Checks.</w:t>
      </w:r>
      <w:r w:rsidRPr="00F177C2">
        <w:rPr>
          <w:rFonts w:cs="Arial"/>
        </w:rPr>
        <w:t xml:space="preserve">  Health checks are mainly delivered through GP practices in primary care, with a small amount of provision from other commissioned services in workplaces and in community settings. The programme was suspended during the pandemic, </w:t>
      </w:r>
      <w:r w:rsidRPr="00F177C2">
        <w:rPr>
          <w:color w:val="auto"/>
        </w:rPr>
        <w:t xml:space="preserve">and Public Health England directed that no results were to be reported. </w:t>
      </w:r>
      <w:r w:rsidRPr="00F177C2">
        <w:rPr>
          <w:rFonts w:cs="Arial"/>
        </w:rPr>
        <w:t xml:space="preserve"> </w:t>
      </w:r>
    </w:p>
    <w:p w14:paraId="55B1F9CD" w14:textId="77777777" w:rsidR="006219DA" w:rsidRPr="00F177C2" w:rsidRDefault="006219DA" w:rsidP="006219DA">
      <w:pPr>
        <w:pStyle w:val="paragraph"/>
        <w:spacing w:before="0" w:beforeAutospacing="0" w:after="0" w:afterAutospacing="0"/>
        <w:jc w:val="both"/>
        <w:textAlignment w:val="baseline"/>
        <w:rPr>
          <w:rFonts w:ascii="Arial" w:eastAsia="Calibri" w:hAnsi="Arial" w:cs="Arial"/>
          <w:color w:val="000000"/>
          <w:sz w:val="24"/>
          <w:szCs w:val="24"/>
          <w:lang w:eastAsia="en-US"/>
        </w:rPr>
      </w:pPr>
      <w:r w:rsidRPr="00F177C2">
        <w:rPr>
          <w:rFonts w:ascii="Arial" w:eastAsia="Calibri" w:hAnsi="Arial" w:cs="Arial"/>
          <w:color w:val="000000"/>
          <w:sz w:val="24"/>
          <w:szCs w:val="24"/>
          <w:lang w:eastAsia="en-US"/>
        </w:rPr>
        <w:t>The health check has to be delivered in a face-to-face situation, and as such has been adversely affected by the pandemic. GP surgeries generally prioritised other activity and it became very difficult to deliver health checks in a pandemic-safe way. Similarly, the general population tended to avoid GP surgeries for all but essential visits.  More recently the availability of test tubes for phlebotomy blood tests has further impacted on GP delivery. With the continued working from home arrangements many workplaces have not returned to previous capacity levels significantly affecting the availability of people eligible for a Health Check.</w:t>
      </w:r>
    </w:p>
    <w:p w14:paraId="27C9213D" w14:textId="77777777" w:rsidR="006219DA" w:rsidRPr="00F177C2" w:rsidRDefault="006219DA" w:rsidP="006219DA">
      <w:pPr>
        <w:pStyle w:val="paragraph"/>
        <w:spacing w:before="0" w:beforeAutospacing="0" w:after="0" w:afterAutospacing="0"/>
        <w:ind w:left="720"/>
        <w:jc w:val="both"/>
        <w:textAlignment w:val="baseline"/>
        <w:rPr>
          <w:rFonts w:ascii="Arial" w:eastAsia="Calibri" w:hAnsi="Arial" w:cs="Arial"/>
          <w:sz w:val="24"/>
          <w:szCs w:val="24"/>
          <w:lang w:eastAsia="en-US"/>
        </w:rPr>
      </w:pPr>
    </w:p>
    <w:p w14:paraId="6A0CECFC" w14:textId="77777777" w:rsidR="006219DA" w:rsidRPr="00F177C2" w:rsidRDefault="006219DA" w:rsidP="006219DA">
      <w:pPr>
        <w:pStyle w:val="paragraph"/>
        <w:spacing w:before="0" w:beforeAutospacing="0" w:after="0" w:afterAutospacing="0"/>
        <w:jc w:val="both"/>
        <w:textAlignment w:val="baseline"/>
        <w:rPr>
          <w:rFonts w:ascii="Arial" w:eastAsia="Calibri" w:hAnsi="Arial" w:cs="Arial"/>
          <w:sz w:val="24"/>
          <w:szCs w:val="24"/>
          <w:lang w:eastAsia="en-US"/>
        </w:rPr>
      </w:pPr>
      <w:r w:rsidRPr="00F177C2">
        <w:rPr>
          <w:rFonts w:ascii="Arial" w:eastAsia="Calibri" w:hAnsi="Arial" w:cs="Arial"/>
          <w:sz w:val="24"/>
          <w:szCs w:val="24"/>
          <w:lang w:eastAsia="en-US"/>
        </w:rPr>
        <w:t>The restart of the NHS Health Check programme is a Public Health priority within the Healthy Hearts agenda and a series of mobilisation activities are already underway across Lancashire with support from CCG colleagues, community providers, Lancashire County Council Corporate Communications and the Programme Office.  </w:t>
      </w:r>
    </w:p>
    <w:p w14:paraId="0CEC78DC" w14:textId="77777777" w:rsidR="006219DA" w:rsidRPr="00F177C2" w:rsidRDefault="006219DA" w:rsidP="006219DA">
      <w:pPr>
        <w:rPr>
          <w:b/>
          <w:bCs/>
          <w:color w:val="000000" w:themeColor="text1"/>
        </w:rPr>
      </w:pPr>
      <w:bookmarkStart w:id="6" w:name="_Hlk86919143"/>
    </w:p>
    <w:p w14:paraId="66E54651" w14:textId="77777777" w:rsidR="006219DA" w:rsidRPr="001B1936" w:rsidRDefault="006219DA" w:rsidP="006219DA">
      <w:pPr>
        <w:rPr>
          <w:color w:val="000000" w:themeColor="text1"/>
        </w:rPr>
      </w:pPr>
      <w:r w:rsidRPr="001B1936">
        <w:rPr>
          <w:b/>
          <w:bCs/>
          <w:color w:val="000000" w:themeColor="text1"/>
        </w:rPr>
        <w:t>Additional service developments</w:t>
      </w:r>
      <w:r>
        <w:rPr>
          <w:color w:val="000000" w:themeColor="text1"/>
        </w:rPr>
        <w:t xml:space="preserve">. </w:t>
      </w:r>
      <w:r w:rsidRPr="001B1936">
        <w:rPr>
          <w:color w:val="000000" w:themeColor="text1"/>
        </w:rPr>
        <w:t>In addition to the above established key performance indicators many other service developments, projects and achievements are ongoing supporting and delivering the Caring for the Vulnerable corporate priority.  Performance metrics are being developed for these areas, along with associated targets where appropriate</w:t>
      </w:r>
      <w:r>
        <w:rPr>
          <w:color w:val="000000" w:themeColor="text1"/>
        </w:rPr>
        <w:t>,</w:t>
      </w:r>
      <w:r w:rsidRPr="001B1936">
        <w:rPr>
          <w:color w:val="000000" w:themeColor="text1"/>
        </w:rPr>
        <w:t xml:space="preserve"> for inclusion in future reports.</w:t>
      </w:r>
    </w:p>
    <w:p w14:paraId="04C78CB0" w14:textId="77777777" w:rsidR="006219DA" w:rsidRPr="001B1936" w:rsidRDefault="006219DA" w:rsidP="006219DA">
      <w:pPr>
        <w:rPr>
          <w:color w:val="000000" w:themeColor="text1"/>
        </w:rPr>
      </w:pPr>
      <w:r w:rsidRPr="001B1936">
        <w:rPr>
          <w:color w:val="000000" w:themeColor="text1"/>
        </w:rPr>
        <w:t>These service development areas include:</w:t>
      </w:r>
    </w:p>
    <w:p w14:paraId="766CE7B1" w14:textId="77777777" w:rsidR="006219DA" w:rsidRPr="001B1936" w:rsidRDefault="006219DA" w:rsidP="006219DA">
      <w:pPr>
        <w:pStyle w:val="ListParagraph"/>
        <w:numPr>
          <w:ilvl w:val="0"/>
          <w:numId w:val="4"/>
        </w:numPr>
        <w:rPr>
          <w:b/>
          <w:bCs/>
          <w:color w:val="000000" w:themeColor="text1"/>
        </w:rPr>
      </w:pPr>
      <w:r w:rsidRPr="001B1936">
        <w:t xml:space="preserve">An extra £10m has been secured to extend support for SEND pupils.  </w:t>
      </w:r>
    </w:p>
    <w:p w14:paraId="4B017480" w14:textId="77777777" w:rsidR="006219DA" w:rsidRPr="001B1936" w:rsidRDefault="006219DA" w:rsidP="006219DA">
      <w:pPr>
        <w:pStyle w:val="ListParagraph"/>
        <w:numPr>
          <w:ilvl w:val="0"/>
          <w:numId w:val="4"/>
        </w:numPr>
        <w:rPr>
          <w:b/>
          <w:bCs/>
          <w:color w:val="000000" w:themeColor="text1"/>
        </w:rPr>
      </w:pPr>
      <w:r w:rsidRPr="001B1936">
        <w:t>A clear ambition to innovate, modernise and provide flexible, responsive and person-centred adult social care services through embracing new technology, new housing models and adopting new ways of working.</w:t>
      </w:r>
    </w:p>
    <w:p w14:paraId="11DF2E71" w14:textId="77777777" w:rsidR="006219DA" w:rsidRPr="001B1936" w:rsidRDefault="006219DA" w:rsidP="006219DA">
      <w:pPr>
        <w:pStyle w:val="ListParagraph"/>
        <w:numPr>
          <w:ilvl w:val="0"/>
          <w:numId w:val="4"/>
        </w:numPr>
        <w:rPr>
          <w:b/>
          <w:bCs/>
          <w:color w:val="000000" w:themeColor="text1"/>
        </w:rPr>
      </w:pPr>
      <w:r w:rsidRPr="001B1936">
        <w:t>Further developing relationships with care providers who are keen to continue a dialogue about working together to develop new and innovative services based on people’s choices.</w:t>
      </w:r>
    </w:p>
    <w:p w14:paraId="3A0553A8" w14:textId="77777777" w:rsidR="006219DA" w:rsidRPr="001B1936" w:rsidRDefault="006219DA" w:rsidP="006219DA">
      <w:pPr>
        <w:pStyle w:val="ListParagraph"/>
        <w:numPr>
          <w:ilvl w:val="0"/>
          <w:numId w:val="4"/>
        </w:numPr>
        <w:rPr>
          <w:b/>
          <w:bCs/>
          <w:color w:val="000000" w:themeColor="text1"/>
        </w:rPr>
      </w:pPr>
      <w:r w:rsidRPr="001B1936">
        <w:t>A clear ambition to ensure at least one extra care housing scheme in each district.</w:t>
      </w:r>
    </w:p>
    <w:bookmarkEnd w:id="6"/>
    <w:p w14:paraId="79672D1E" w14:textId="72D936ED" w:rsidR="006219DA" w:rsidRPr="00607592" w:rsidRDefault="006219DA" w:rsidP="006219DA">
      <w:pPr>
        <w:autoSpaceDE/>
        <w:autoSpaceDN/>
        <w:adjustRightInd/>
        <w:spacing w:after="160" w:line="259" w:lineRule="auto"/>
        <w:jc w:val="left"/>
        <w:rPr>
          <w:rFonts w:cs="Arial"/>
          <w:color w:val="auto"/>
          <w:sz w:val="22"/>
          <w:szCs w:val="22"/>
        </w:rPr>
      </w:pPr>
    </w:p>
    <w:p w14:paraId="18095F3F" w14:textId="77777777" w:rsidR="00170D99" w:rsidRPr="003627A1" w:rsidRDefault="00170D99">
      <w:pPr>
        <w:rPr>
          <w:sz w:val="22"/>
          <w:szCs w:val="22"/>
        </w:rPr>
      </w:pPr>
    </w:p>
    <w:sectPr w:rsidR="00170D99" w:rsidRPr="003627A1" w:rsidSect="00CA617D">
      <w:headerReference w:type="default" r:id="rId10"/>
      <w:footerReference w:type="default" r:id="rId11"/>
      <w:head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6D4B" w14:textId="77777777" w:rsidR="00E20BD0" w:rsidRDefault="006219DA">
      <w:pPr>
        <w:spacing w:after="0"/>
      </w:pPr>
      <w:r>
        <w:separator/>
      </w:r>
    </w:p>
  </w:endnote>
  <w:endnote w:type="continuationSeparator" w:id="0">
    <w:p w14:paraId="387860D3" w14:textId="77777777" w:rsidR="00E20BD0" w:rsidRDefault="006219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0A06" w14:textId="23BAC9DA" w:rsidR="00656749" w:rsidRDefault="006219DA" w:rsidP="00387F7F">
    <w:pPr>
      <w:pStyle w:val="Footer"/>
    </w:pPr>
    <w:r w:rsidRPr="00DD214D">
      <w:rPr>
        <w:sz w:val="20"/>
        <w:szCs w:val="20"/>
      </w:rPr>
      <w:t xml:space="preserve">Please note all data </w:t>
    </w:r>
    <w:r>
      <w:rPr>
        <w:sz w:val="20"/>
        <w:szCs w:val="20"/>
      </w:rPr>
      <w:t>was</w:t>
    </w:r>
    <w:r w:rsidRPr="00DD214D">
      <w:rPr>
        <w:sz w:val="20"/>
        <w:szCs w:val="20"/>
      </w:rPr>
      <w:t xml:space="preserve"> correct at the time of publication, however </w:t>
    </w:r>
    <w:r>
      <w:rPr>
        <w:sz w:val="20"/>
        <w:szCs w:val="20"/>
      </w:rPr>
      <w:t>they may</w:t>
    </w:r>
    <w:r w:rsidRPr="00DD214D">
      <w:rPr>
        <w:sz w:val="20"/>
        <w:szCs w:val="20"/>
      </w:rPr>
      <w:t xml:space="preserve"> change </w:t>
    </w:r>
    <w:r>
      <w:rPr>
        <w:sz w:val="20"/>
        <w:szCs w:val="20"/>
      </w:rPr>
      <w:t>due to validation processes including for statutory reporting</w:t>
    </w:r>
    <w:r>
      <w:t>.</w:t>
    </w:r>
  </w:p>
  <w:p w14:paraId="7D9B8BD3" w14:textId="77777777" w:rsidR="00656749" w:rsidRDefault="00656749" w:rsidP="00387F7F">
    <w:pPr>
      <w:pStyle w:val="Footer"/>
    </w:pPr>
  </w:p>
  <w:p w14:paraId="4B9328CD" w14:textId="641C10BB" w:rsidR="00656749" w:rsidRDefault="00656749">
    <w:pPr>
      <w:pStyle w:val="Footer"/>
    </w:pPr>
  </w:p>
  <w:p w14:paraId="52ACB2D9" w14:textId="2234729E" w:rsidR="00656749" w:rsidRDefault="00656749" w:rsidP="4E6013FB">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819D9" w14:textId="77777777" w:rsidR="00E20BD0" w:rsidRDefault="006219DA">
      <w:pPr>
        <w:spacing w:after="0"/>
      </w:pPr>
      <w:r>
        <w:separator/>
      </w:r>
    </w:p>
  </w:footnote>
  <w:footnote w:type="continuationSeparator" w:id="0">
    <w:p w14:paraId="488CEB03" w14:textId="77777777" w:rsidR="00E20BD0" w:rsidRDefault="006219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00176ACB" w14:paraId="5C066961" w14:textId="77777777" w:rsidTr="4E6013FB">
      <w:tc>
        <w:tcPr>
          <w:tcW w:w="4650" w:type="dxa"/>
        </w:tcPr>
        <w:p w14:paraId="16404C97" w14:textId="71804771" w:rsidR="00656749" w:rsidRDefault="00656749" w:rsidP="00280EAA">
          <w:pPr>
            <w:pStyle w:val="Header"/>
            <w:ind w:left="-115"/>
            <w:jc w:val="right"/>
            <w:rPr>
              <w:color w:val="000000" w:themeColor="text1"/>
            </w:rPr>
          </w:pPr>
        </w:p>
      </w:tc>
      <w:tc>
        <w:tcPr>
          <w:tcW w:w="4650" w:type="dxa"/>
        </w:tcPr>
        <w:p w14:paraId="21FE034E" w14:textId="6581A01A" w:rsidR="00656749" w:rsidRDefault="00656749" w:rsidP="4E6013FB">
          <w:pPr>
            <w:pStyle w:val="Header"/>
            <w:jc w:val="center"/>
            <w:rPr>
              <w:color w:val="000000" w:themeColor="text1"/>
            </w:rPr>
          </w:pPr>
        </w:p>
      </w:tc>
      <w:tc>
        <w:tcPr>
          <w:tcW w:w="4650" w:type="dxa"/>
        </w:tcPr>
        <w:p w14:paraId="61DB086E" w14:textId="67FAF16B" w:rsidR="00656749" w:rsidRDefault="00656749" w:rsidP="4E6013FB">
          <w:pPr>
            <w:pStyle w:val="Header"/>
            <w:ind w:right="-115"/>
            <w:jc w:val="right"/>
            <w:rPr>
              <w:color w:val="000000" w:themeColor="text1"/>
            </w:rPr>
          </w:pPr>
        </w:p>
      </w:tc>
    </w:tr>
  </w:tbl>
  <w:p w14:paraId="4C38374D" w14:textId="08FF0D93" w:rsidR="00656749" w:rsidRDefault="00656749" w:rsidP="4E6013FB">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9437" w14:textId="6E463500" w:rsidR="00CA617D" w:rsidRDefault="00CA617D">
    <w:pPr>
      <w:pStyle w:val="Header"/>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D82"/>
    <w:multiLevelType w:val="hybridMultilevel"/>
    <w:tmpl w:val="A3DCA6CA"/>
    <w:lvl w:ilvl="0" w:tplc="3F088B6C">
      <w:start w:val="1"/>
      <w:numFmt w:val="bullet"/>
      <w:lvlText w:val=""/>
      <w:lvlJc w:val="left"/>
      <w:pPr>
        <w:ind w:left="720" w:hanging="360"/>
      </w:pPr>
      <w:rPr>
        <w:rFonts w:ascii="Symbol" w:hAnsi="Symbol" w:hint="default"/>
      </w:rPr>
    </w:lvl>
    <w:lvl w:ilvl="1" w:tplc="4D040A12" w:tentative="1">
      <w:start w:val="1"/>
      <w:numFmt w:val="bullet"/>
      <w:lvlText w:val="o"/>
      <w:lvlJc w:val="left"/>
      <w:pPr>
        <w:ind w:left="1440" w:hanging="360"/>
      </w:pPr>
      <w:rPr>
        <w:rFonts w:ascii="Courier New" w:hAnsi="Courier New" w:cs="Courier New" w:hint="default"/>
      </w:rPr>
    </w:lvl>
    <w:lvl w:ilvl="2" w:tplc="BCB63E56" w:tentative="1">
      <w:start w:val="1"/>
      <w:numFmt w:val="bullet"/>
      <w:lvlText w:val=""/>
      <w:lvlJc w:val="left"/>
      <w:pPr>
        <w:ind w:left="2160" w:hanging="360"/>
      </w:pPr>
      <w:rPr>
        <w:rFonts w:ascii="Wingdings" w:hAnsi="Wingdings" w:hint="default"/>
      </w:rPr>
    </w:lvl>
    <w:lvl w:ilvl="3" w:tplc="E66EC1BE" w:tentative="1">
      <w:start w:val="1"/>
      <w:numFmt w:val="bullet"/>
      <w:lvlText w:val=""/>
      <w:lvlJc w:val="left"/>
      <w:pPr>
        <w:ind w:left="2880" w:hanging="360"/>
      </w:pPr>
      <w:rPr>
        <w:rFonts w:ascii="Symbol" w:hAnsi="Symbol" w:hint="default"/>
      </w:rPr>
    </w:lvl>
    <w:lvl w:ilvl="4" w:tplc="3E5E1EBA" w:tentative="1">
      <w:start w:val="1"/>
      <w:numFmt w:val="bullet"/>
      <w:lvlText w:val="o"/>
      <w:lvlJc w:val="left"/>
      <w:pPr>
        <w:ind w:left="3600" w:hanging="360"/>
      </w:pPr>
      <w:rPr>
        <w:rFonts w:ascii="Courier New" w:hAnsi="Courier New" w:cs="Courier New" w:hint="default"/>
      </w:rPr>
    </w:lvl>
    <w:lvl w:ilvl="5" w:tplc="41B42446" w:tentative="1">
      <w:start w:val="1"/>
      <w:numFmt w:val="bullet"/>
      <w:lvlText w:val=""/>
      <w:lvlJc w:val="left"/>
      <w:pPr>
        <w:ind w:left="4320" w:hanging="360"/>
      </w:pPr>
      <w:rPr>
        <w:rFonts w:ascii="Wingdings" w:hAnsi="Wingdings" w:hint="default"/>
      </w:rPr>
    </w:lvl>
    <w:lvl w:ilvl="6" w:tplc="0624F310" w:tentative="1">
      <w:start w:val="1"/>
      <w:numFmt w:val="bullet"/>
      <w:lvlText w:val=""/>
      <w:lvlJc w:val="left"/>
      <w:pPr>
        <w:ind w:left="5040" w:hanging="360"/>
      </w:pPr>
      <w:rPr>
        <w:rFonts w:ascii="Symbol" w:hAnsi="Symbol" w:hint="default"/>
      </w:rPr>
    </w:lvl>
    <w:lvl w:ilvl="7" w:tplc="46325778" w:tentative="1">
      <w:start w:val="1"/>
      <w:numFmt w:val="bullet"/>
      <w:lvlText w:val="o"/>
      <w:lvlJc w:val="left"/>
      <w:pPr>
        <w:ind w:left="5760" w:hanging="360"/>
      </w:pPr>
      <w:rPr>
        <w:rFonts w:ascii="Courier New" w:hAnsi="Courier New" w:cs="Courier New" w:hint="default"/>
      </w:rPr>
    </w:lvl>
    <w:lvl w:ilvl="8" w:tplc="1DD011CA" w:tentative="1">
      <w:start w:val="1"/>
      <w:numFmt w:val="bullet"/>
      <w:lvlText w:val=""/>
      <w:lvlJc w:val="left"/>
      <w:pPr>
        <w:ind w:left="6480" w:hanging="360"/>
      </w:pPr>
      <w:rPr>
        <w:rFonts w:ascii="Wingdings" w:hAnsi="Wingdings" w:hint="default"/>
      </w:rPr>
    </w:lvl>
  </w:abstractNum>
  <w:abstractNum w:abstractNumId="1" w15:restartNumberingAfterBreak="0">
    <w:nsid w:val="27B04000"/>
    <w:multiLevelType w:val="hybridMultilevel"/>
    <w:tmpl w:val="FFFFFFFF"/>
    <w:lvl w:ilvl="0" w:tplc="8ACC4828">
      <w:start w:val="1"/>
      <w:numFmt w:val="bullet"/>
      <w:lvlText w:val="·"/>
      <w:lvlJc w:val="left"/>
      <w:pPr>
        <w:ind w:left="720" w:hanging="360"/>
      </w:pPr>
      <w:rPr>
        <w:rFonts w:ascii="Symbol" w:hAnsi="Symbol" w:hint="default"/>
      </w:rPr>
    </w:lvl>
    <w:lvl w:ilvl="1" w:tplc="B19678F4">
      <w:start w:val="1"/>
      <w:numFmt w:val="bullet"/>
      <w:lvlText w:val="o"/>
      <w:lvlJc w:val="left"/>
      <w:pPr>
        <w:ind w:left="1440" w:hanging="360"/>
      </w:pPr>
      <w:rPr>
        <w:rFonts w:ascii="Courier New" w:hAnsi="Courier New" w:hint="default"/>
      </w:rPr>
    </w:lvl>
    <w:lvl w:ilvl="2" w:tplc="AAAACD0E">
      <w:start w:val="1"/>
      <w:numFmt w:val="bullet"/>
      <w:lvlText w:val=""/>
      <w:lvlJc w:val="left"/>
      <w:pPr>
        <w:ind w:left="2160" w:hanging="360"/>
      </w:pPr>
      <w:rPr>
        <w:rFonts w:ascii="Wingdings" w:hAnsi="Wingdings" w:hint="default"/>
      </w:rPr>
    </w:lvl>
    <w:lvl w:ilvl="3" w:tplc="4BAA1DCC">
      <w:start w:val="1"/>
      <w:numFmt w:val="bullet"/>
      <w:lvlText w:val=""/>
      <w:lvlJc w:val="left"/>
      <w:pPr>
        <w:ind w:left="2880" w:hanging="360"/>
      </w:pPr>
      <w:rPr>
        <w:rFonts w:ascii="Symbol" w:hAnsi="Symbol" w:hint="default"/>
      </w:rPr>
    </w:lvl>
    <w:lvl w:ilvl="4" w:tplc="96C487C6">
      <w:start w:val="1"/>
      <w:numFmt w:val="bullet"/>
      <w:lvlText w:val="o"/>
      <w:lvlJc w:val="left"/>
      <w:pPr>
        <w:ind w:left="3600" w:hanging="360"/>
      </w:pPr>
      <w:rPr>
        <w:rFonts w:ascii="Courier New" w:hAnsi="Courier New" w:hint="default"/>
      </w:rPr>
    </w:lvl>
    <w:lvl w:ilvl="5" w:tplc="532C4F60">
      <w:start w:val="1"/>
      <w:numFmt w:val="bullet"/>
      <w:lvlText w:val=""/>
      <w:lvlJc w:val="left"/>
      <w:pPr>
        <w:ind w:left="4320" w:hanging="360"/>
      </w:pPr>
      <w:rPr>
        <w:rFonts w:ascii="Wingdings" w:hAnsi="Wingdings" w:hint="default"/>
      </w:rPr>
    </w:lvl>
    <w:lvl w:ilvl="6" w:tplc="75B40498">
      <w:start w:val="1"/>
      <w:numFmt w:val="bullet"/>
      <w:lvlText w:val=""/>
      <w:lvlJc w:val="left"/>
      <w:pPr>
        <w:ind w:left="5040" w:hanging="360"/>
      </w:pPr>
      <w:rPr>
        <w:rFonts w:ascii="Symbol" w:hAnsi="Symbol" w:hint="default"/>
      </w:rPr>
    </w:lvl>
    <w:lvl w:ilvl="7" w:tplc="9BE4EE7E">
      <w:start w:val="1"/>
      <w:numFmt w:val="bullet"/>
      <w:lvlText w:val="o"/>
      <w:lvlJc w:val="left"/>
      <w:pPr>
        <w:ind w:left="5760" w:hanging="360"/>
      </w:pPr>
      <w:rPr>
        <w:rFonts w:ascii="Courier New" w:hAnsi="Courier New" w:hint="default"/>
      </w:rPr>
    </w:lvl>
    <w:lvl w:ilvl="8" w:tplc="F7E25918">
      <w:start w:val="1"/>
      <w:numFmt w:val="bullet"/>
      <w:lvlText w:val=""/>
      <w:lvlJc w:val="left"/>
      <w:pPr>
        <w:ind w:left="6480" w:hanging="360"/>
      </w:pPr>
      <w:rPr>
        <w:rFonts w:ascii="Wingdings" w:hAnsi="Wingdings" w:hint="default"/>
      </w:rPr>
    </w:lvl>
  </w:abstractNum>
  <w:abstractNum w:abstractNumId="2" w15:restartNumberingAfterBreak="0">
    <w:nsid w:val="341E269D"/>
    <w:multiLevelType w:val="hybridMultilevel"/>
    <w:tmpl w:val="01E05D82"/>
    <w:lvl w:ilvl="0" w:tplc="9C281DBC">
      <w:start w:val="1"/>
      <w:numFmt w:val="bullet"/>
      <w:lvlText w:val=""/>
      <w:lvlJc w:val="left"/>
      <w:pPr>
        <w:ind w:left="720" w:hanging="360"/>
      </w:pPr>
      <w:rPr>
        <w:rFonts w:ascii="Symbol" w:hAnsi="Symbol" w:hint="default"/>
      </w:rPr>
    </w:lvl>
    <w:lvl w:ilvl="1" w:tplc="22D8436E" w:tentative="1">
      <w:start w:val="1"/>
      <w:numFmt w:val="bullet"/>
      <w:lvlText w:val="o"/>
      <w:lvlJc w:val="left"/>
      <w:pPr>
        <w:ind w:left="1440" w:hanging="360"/>
      </w:pPr>
      <w:rPr>
        <w:rFonts w:ascii="Courier New" w:hAnsi="Courier New" w:cs="Courier New" w:hint="default"/>
      </w:rPr>
    </w:lvl>
    <w:lvl w:ilvl="2" w:tplc="3E001528" w:tentative="1">
      <w:start w:val="1"/>
      <w:numFmt w:val="bullet"/>
      <w:lvlText w:val=""/>
      <w:lvlJc w:val="left"/>
      <w:pPr>
        <w:ind w:left="2160" w:hanging="360"/>
      </w:pPr>
      <w:rPr>
        <w:rFonts w:ascii="Wingdings" w:hAnsi="Wingdings" w:hint="default"/>
      </w:rPr>
    </w:lvl>
    <w:lvl w:ilvl="3" w:tplc="F39089C4" w:tentative="1">
      <w:start w:val="1"/>
      <w:numFmt w:val="bullet"/>
      <w:lvlText w:val=""/>
      <w:lvlJc w:val="left"/>
      <w:pPr>
        <w:ind w:left="2880" w:hanging="360"/>
      </w:pPr>
      <w:rPr>
        <w:rFonts w:ascii="Symbol" w:hAnsi="Symbol" w:hint="default"/>
      </w:rPr>
    </w:lvl>
    <w:lvl w:ilvl="4" w:tplc="CCCAEA52" w:tentative="1">
      <w:start w:val="1"/>
      <w:numFmt w:val="bullet"/>
      <w:lvlText w:val="o"/>
      <w:lvlJc w:val="left"/>
      <w:pPr>
        <w:ind w:left="3600" w:hanging="360"/>
      </w:pPr>
      <w:rPr>
        <w:rFonts w:ascii="Courier New" w:hAnsi="Courier New" w:cs="Courier New" w:hint="default"/>
      </w:rPr>
    </w:lvl>
    <w:lvl w:ilvl="5" w:tplc="F608322A" w:tentative="1">
      <w:start w:val="1"/>
      <w:numFmt w:val="bullet"/>
      <w:lvlText w:val=""/>
      <w:lvlJc w:val="left"/>
      <w:pPr>
        <w:ind w:left="4320" w:hanging="360"/>
      </w:pPr>
      <w:rPr>
        <w:rFonts w:ascii="Wingdings" w:hAnsi="Wingdings" w:hint="default"/>
      </w:rPr>
    </w:lvl>
    <w:lvl w:ilvl="6" w:tplc="E9340398" w:tentative="1">
      <w:start w:val="1"/>
      <w:numFmt w:val="bullet"/>
      <w:lvlText w:val=""/>
      <w:lvlJc w:val="left"/>
      <w:pPr>
        <w:ind w:left="5040" w:hanging="360"/>
      </w:pPr>
      <w:rPr>
        <w:rFonts w:ascii="Symbol" w:hAnsi="Symbol" w:hint="default"/>
      </w:rPr>
    </w:lvl>
    <w:lvl w:ilvl="7" w:tplc="5006789A" w:tentative="1">
      <w:start w:val="1"/>
      <w:numFmt w:val="bullet"/>
      <w:lvlText w:val="o"/>
      <w:lvlJc w:val="left"/>
      <w:pPr>
        <w:ind w:left="5760" w:hanging="360"/>
      </w:pPr>
      <w:rPr>
        <w:rFonts w:ascii="Courier New" w:hAnsi="Courier New" w:cs="Courier New" w:hint="default"/>
      </w:rPr>
    </w:lvl>
    <w:lvl w:ilvl="8" w:tplc="2278BC0A" w:tentative="1">
      <w:start w:val="1"/>
      <w:numFmt w:val="bullet"/>
      <w:lvlText w:val=""/>
      <w:lvlJc w:val="left"/>
      <w:pPr>
        <w:ind w:left="6480" w:hanging="360"/>
      </w:pPr>
      <w:rPr>
        <w:rFonts w:ascii="Wingdings" w:hAnsi="Wingdings" w:hint="default"/>
      </w:rPr>
    </w:lvl>
  </w:abstractNum>
  <w:abstractNum w:abstractNumId="3" w15:restartNumberingAfterBreak="0">
    <w:nsid w:val="34A9745D"/>
    <w:multiLevelType w:val="hybridMultilevel"/>
    <w:tmpl w:val="AF5CDC00"/>
    <w:lvl w:ilvl="0" w:tplc="FE0CD568">
      <w:start w:val="1"/>
      <w:numFmt w:val="bullet"/>
      <w:lvlText w:val=""/>
      <w:lvlJc w:val="left"/>
      <w:pPr>
        <w:ind w:left="720" w:hanging="360"/>
      </w:pPr>
      <w:rPr>
        <w:rFonts w:ascii="Symbol" w:hAnsi="Symbol" w:hint="default"/>
      </w:rPr>
    </w:lvl>
    <w:lvl w:ilvl="1" w:tplc="92786D48" w:tentative="1">
      <w:start w:val="1"/>
      <w:numFmt w:val="bullet"/>
      <w:lvlText w:val="o"/>
      <w:lvlJc w:val="left"/>
      <w:pPr>
        <w:ind w:left="1440" w:hanging="360"/>
      </w:pPr>
      <w:rPr>
        <w:rFonts w:ascii="Courier New" w:hAnsi="Courier New" w:cs="Courier New" w:hint="default"/>
      </w:rPr>
    </w:lvl>
    <w:lvl w:ilvl="2" w:tplc="DCC88086" w:tentative="1">
      <w:start w:val="1"/>
      <w:numFmt w:val="bullet"/>
      <w:lvlText w:val=""/>
      <w:lvlJc w:val="left"/>
      <w:pPr>
        <w:ind w:left="2160" w:hanging="360"/>
      </w:pPr>
      <w:rPr>
        <w:rFonts w:ascii="Wingdings" w:hAnsi="Wingdings" w:hint="default"/>
      </w:rPr>
    </w:lvl>
    <w:lvl w:ilvl="3" w:tplc="07DA833C" w:tentative="1">
      <w:start w:val="1"/>
      <w:numFmt w:val="bullet"/>
      <w:lvlText w:val=""/>
      <w:lvlJc w:val="left"/>
      <w:pPr>
        <w:ind w:left="2880" w:hanging="360"/>
      </w:pPr>
      <w:rPr>
        <w:rFonts w:ascii="Symbol" w:hAnsi="Symbol" w:hint="default"/>
      </w:rPr>
    </w:lvl>
    <w:lvl w:ilvl="4" w:tplc="16F411D0" w:tentative="1">
      <w:start w:val="1"/>
      <w:numFmt w:val="bullet"/>
      <w:lvlText w:val="o"/>
      <w:lvlJc w:val="left"/>
      <w:pPr>
        <w:ind w:left="3600" w:hanging="360"/>
      </w:pPr>
      <w:rPr>
        <w:rFonts w:ascii="Courier New" w:hAnsi="Courier New" w:cs="Courier New" w:hint="default"/>
      </w:rPr>
    </w:lvl>
    <w:lvl w:ilvl="5" w:tplc="E056D5EA" w:tentative="1">
      <w:start w:val="1"/>
      <w:numFmt w:val="bullet"/>
      <w:lvlText w:val=""/>
      <w:lvlJc w:val="left"/>
      <w:pPr>
        <w:ind w:left="4320" w:hanging="360"/>
      </w:pPr>
      <w:rPr>
        <w:rFonts w:ascii="Wingdings" w:hAnsi="Wingdings" w:hint="default"/>
      </w:rPr>
    </w:lvl>
    <w:lvl w:ilvl="6" w:tplc="194AA504" w:tentative="1">
      <w:start w:val="1"/>
      <w:numFmt w:val="bullet"/>
      <w:lvlText w:val=""/>
      <w:lvlJc w:val="left"/>
      <w:pPr>
        <w:ind w:left="5040" w:hanging="360"/>
      </w:pPr>
      <w:rPr>
        <w:rFonts w:ascii="Symbol" w:hAnsi="Symbol" w:hint="default"/>
      </w:rPr>
    </w:lvl>
    <w:lvl w:ilvl="7" w:tplc="3C26CA5C" w:tentative="1">
      <w:start w:val="1"/>
      <w:numFmt w:val="bullet"/>
      <w:lvlText w:val="o"/>
      <w:lvlJc w:val="left"/>
      <w:pPr>
        <w:ind w:left="5760" w:hanging="360"/>
      </w:pPr>
      <w:rPr>
        <w:rFonts w:ascii="Courier New" w:hAnsi="Courier New" w:cs="Courier New" w:hint="default"/>
      </w:rPr>
    </w:lvl>
    <w:lvl w:ilvl="8" w:tplc="AD38F1FA" w:tentative="1">
      <w:start w:val="1"/>
      <w:numFmt w:val="bullet"/>
      <w:lvlText w:val=""/>
      <w:lvlJc w:val="left"/>
      <w:pPr>
        <w:ind w:left="6480" w:hanging="360"/>
      </w:pPr>
      <w:rPr>
        <w:rFonts w:ascii="Wingdings" w:hAnsi="Wingdings" w:hint="default"/>
      </w:rPr>
    </w:lvl>
  </w:abstractNum>
  <w:abstractNum w:abstractNumId="4" w15:restartNumberingAfterBreak="0">
    <w:nsid w:val="70C92D73"/>
    <w:multiLevelType w:val="hybridMultilevel"/>
    <w:tmpl w:val="840EAAD4"/>
    <w:lvl w:ilvl="0" w:tplc="063A2740">
      <w:start w:val="1"/>
      <w:numFmt w:val="bullet"/>
      <w:lvlText w:val=""/>
      <w:lvlJc w:val="left"/>
      <w:pPr>
        <w:ind w:left="720" w:hanging="360"/>
      </w:pPr>
      <w:rPr>
        <w:rFonts w:ascii="Symbol" w:hAnsi="Symbol" w:hint="default"/>
      </w:rPr>
    </w:lvl>
    <w:lvl w:ilvl="1" w:tplc="4E86D81A">
      <w:start w:val="1"/>
      <w:numFmt w:val="bullet"/>
      <w:lvlText w:val="o"/>
      <w:lvlJc w:val="left"/>
      <w:pPr>
        <w:ind w:left="1440" w:hanging="360"/>
      </w:pPr>
      <w:rPr>
        <w:rFonts w:ascii="Courier New" w:hAnsi="Courier New" w:cs="Courier New" w:hint="default"/>
      </w:rPr>
    </w:lvl>
    <w:lvl w:ilvl="2" w:tplc="FB7A3D6A">
      <w:start w:val="1"/>
      <w:numFmt w:val="bullet"/>
      <w:lvlText w:val=""/>
      <w:lvlJc w:val="left"/>
      <w:pPr>
        <w:ind w:left="2160" w:hanging="360"/>
      </w:pPr>
      <w:rPr>
        <w:rFonts w:ascii="Wingdings" w:hAnsi="Wingdings" w:hint="default"/>
      </w:rPr>
    </w:lvl>
    <w:lvl w:ilvl="3" w:tplc="8B1E8B70">
      <w:start w:val="1"/>
      <w:numFmt w:val="bullet"/>
      <w:lvlText w:val=""/>
      <w:lvlJc w:val="left"/>
      <w:pPr>
        <w:ind w:left="2880" w:hanging="360"/>
      </w:pPr>
      <w:rPr>
        <w:rFonts w:ascii="Symbol" w:hAnsi="Symbol" w:hint="default"/>
      </w:rPr>
    </w:lvl>
    <w:lvl w:ilvl="4" w:tplc="DE2252E2">
      <w:start w:val="1"/>
      <w:numFmt w:val="bullet"/>
      <w:lvlText w:val="o"/>
      <w:lvlJc w:val="left"/>
      <w:pPr>
        <w:ind w:left="3600" w:hanging="360"/>
      </w:pPr>
      <w:rPr>
        <w:rFonts w:ascii="Courier New" w:hAnsi="Courier New" w:cs="Courier New" w:hint="default"/>
      </w:rPr>
    </w:lvl>
    <w:lvl w:ilvl="5" w:tplc="18D6516C">
      <w:start w:val="1"/>
      <w:numFmt w:val="bullet"/>
      <w:lvlText w:val=""/>
      <w:lvlJc w:val="left"/>
      <w:pPr>
        <w:ind w:left="4320" w:hanging="360"/>
      </w:pPr>
      <w:rPr>
        <w:rFonts w:ascii="Wingdings" w:hAnsi="Wingdings" w:hint="default"/>
      </w:rPr>
    </w:lvl>
    <w:lvl w:ilvl="6" w:tplc="2D14A97A">
      <w:start w:val="1"/>
      <w:numFmt w:val="bullet"/>
      <w:lvlText w:val=""/>
      <w:lvlJc w:val="left"/>
      <w:pPr>
        <w:ind w:left="5040" w:hanging="360"/>
      </w:pPr>
      <w:rPr>
        <w:rFonts w:ascii="Symbol" w:hAnsi="Symbol" w:hint="default"/>
      </w:rPr>
    </w:lvl>
    <w:lvl w:ilvl="7" w:tplc="487C1A52">
      <w:start w:val="1"/>
      <w:numFmt w:val="bullet"/>
      <w:lvlText w:val="o"/>
      <w:lvlJc w:val="left"/>
      <w:pPr>
        <w:ind w:left="5760" w:hanging="360"/>
      </w:pPr>
      <w:rPr>
        <w:rFonts w:ascii="Courier New" w:hAnsi="Courier New" w:cs="Courier New" w:hint="default"/>
      </w:rPr>
    </w:lvl>
    <w:lvl w:ilvl="8" w:tplc="2BE8AFCC">
      <w:start w:val="1"/>
      <w:numFmt w:val="bullet"/>
      <w:lvlText w:val=""/>
      <w:lvlJc w:val="left"/>
      <w:pPr>
        <w:ind w:left="6480" w:hanging="360"/>
      </w:pPr>
      <w:rPr>
        <w:rFonts w:ascii="Wingdings" w:hAnsi="Wingdings" w:hint="default"/>
      </w:rPr>
    </w:lvl>
  </w:abstractNum>
  <w:abstractNum w:abstractNumId="5" w15:restartNumberingAfterBreak="0">
    <w:nsid w:val="74B502EC"/>
    <w:multiLevelType w:val="hybridMultilevel"/>
    <w:tmpl w:val="A52E70C4"/>
    <w:lvl w:ilvl="0" w:tplc="C958E6AC">
      <w:start w:val="1"/>
      <w:numFmt w:val="bullet"/>
      <w:lvlText w:val=""/>
      <w:lvlJc w:val="left"/>
      <w:pPr>
        <w:ind w:left="720" w:hanging="360"/>
      </w:pPr>
      <w:rPr>
        <w:rFonts w:ascii="Symbol" w:hAnsi="Symbol" w:hint="default"/>
      </w:rPr>
    </w:lvl>
    <w:lvl w:ilvl="1" w:tplc="D48A56DE" w:tentative="1">
      <w:start w:val="1"/>
      <w:numFmt w:val="bullet"/>
      <w:lvlText w:val="o"/>
      <w:lvlJc w:val="left"/>
      <w:pPr>
        <w:ind w:left="1440" w:hanging="360"/>
      </w:pPr>
      <w:rPr>
        <w:rFonts w:ascii="Courier New" w:hAnsi="Courier New" w:cs="Courier New" w:hint="default"/>
      </w:rPr>
    </w:lvl>
    <w:lvl w:ilvl="2" w:tplc="03C84DD6" w:tentative="1">
      <w:start w:val="1"/>
      <w:numFmt w:val="bullet"/>
      <w:lvlText w:val=""/>
      <w:lvlJc w:val="left"/>
      <w:pPr>
        <w:ind w:left="2160" w:hanging="360"/>
      </w:pPr>
      <w:rPr>
        <w:rFonts w:ascii="Wingdings" w:hAnsi="Wingdings" w:hint="default"/>
      </w:rPr>
    </w:lvl>
    <w:lvl w:ilvl="3" w:tplc="6EA63E86" w:tentative="1">
      <w:start w:val="1"/>
      <w:numFmt w:val="bullet"/>
      <w:lvlText w:val=""/>
      <w:lvlJc w:val="left"/>
      <w:pPr>
        <w:ind w:left="2880" w:hanging="360"/>
      </w:pPr>
      <w:rPr>
        <w:rFonts w:ascii="Symbol" w:hAnsi="Symbol" w:hint="default"/>
      </w:rPr>
    </w:lvl>
    <w:lvl w:ilvl="4" w:tplc="F2821F36" w:tentative="1">
      <w:start w:val="1"/>
      <w:numFmt w:val="bullet"/>
      <w:lvlText w:val="o"/>
      <w:lvlJc w:val="left"/>
      <w:pPr>
        <w:ind w:left="3600" w:hanging="360"/>
      </w:pPr>
      <w:rPr>
        <w:rFonts w:ascii="Courier New" w:hAnsi="Courier New" w:cs="Courier New" w:hint="default"/>
      </w:rPr>
    </w:lvl>
    <w:lvl w:ilvl="5" w:tplc="CC1C00EC" w:tentative="1">
      <w:start w:val="1"/>
      <w:numFmt w:val="bullet"/>
      <w:lvlText w:val=""/>
      <w:lvlJc w:val="left"/>
      <w:pPr>
        <w:ind w:left="4320" w:hanging="360"/>
      </w:pPr>
      <w:rPr>
        <w:rFonts w:ascii="Wingdings" w:hAnsi="Wingdings" w:hint="default"/>
      </w:rPr>
    </w:lvl>
    <w:lvl w:ilvl="6" w:tplc="D09EEF68" w:tentative="1">
      <w:start w:val="1"/>
      <w:numFmt w:val="bullet"/>
      <w:lvlText w:val=""/>
      <w:lvlJc w:val="left"/>
      <w:pPr>
        <w:ind w:left="5040" w:hanging="360"/>
      </w:pPr>
      <w:rPr>
        <w:rFonts w:ascii="Symbol" w:hAnsi="Symbol" w:hint="default"/>
      </w:rPr>
    </w:lvl>
    <w:lvl w:ilvl="7" w:tplc="05108F4E" w:tentative="1">
      <w:start w:val="1"/>
      <w:numFmt w:val="bullet"/>
      <w:lvlText w:val="o"/>
      <w:lvlJc w:val="left"/>
      <w:pPr>
        <w:ind w:left="5760" w:hanging="360"/>
      </w:pPr>
      <w:rPr>
        <w:rFonts w:ascii="Courier New" w:hAnsi="Courier New" w:cs="Courier New" w:hint="default"/>
      </w:rPr>
    </w:lvl>
    <w:lvl w:ilvl="8" w:tplc="2020D6C0"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D3"/>
    <w:rsid w:val="00012A4D"/>
    <w:rsid w:val="00013124"/>
    <w:rsid w:val="00024D9A"/>
    <w:rsid w:val="000258F1"/>
    <w:rsid w:val="00027E42"/>
    <w:rsid w:val="00030975"/>
    <w:rsid w:val="000345A2"/>
    <w:rsid w:val="0004094C"/>
    <w:rsid w:val="00052C58"/>
    <w:rsid w:val="00053267"/>
    <w:rsid w:val="00062826"/>
    <w:rsid w:val="00074D92"/>
    <w:rsid w:val="00087367"/>
    <w:rsid w:val="00087D91"/>
    <w:rsid w:val="00090445"/>
    <w:rsid w:val="00090583"/>
    <w:rsid w:val="000A256E"/>
    <w:rsid w:val="000C7696"/>
    <w:rsid w:val="000D0C8B"/>
    <w:rsid w:val="000D1C6F"/>
    <w:rsid w:val="000E37BE"/>
    <w:rsid w:val="000E6902"/>
    <w:rsid w:val="000F4C03"/>
    <w:rsid w:val="00102B73"/>
    <w:rsid w:val="00106465"/>
    <w:rsid w:val="0010773B"/>
    <w:rsid w:val="001121BB"/>
    <w:rsid w:val="001400A4"/>
    <w:rsid w:val="001453A9"/>
    <w:rsid w:val="0014595D"/>
    <w:rsid w:val="00152848"/>
    <w:rsid w:val="00155C84"/>
    <w:rsid w:val="0015748B"/>
    <w:rsid w:val="00166853"/>
    <w:rsid w:val="00170D99"/>
    <w:rsid w:val="0017463E"/>
    <w:rsid w:val="00176ACB"/>
    <w:rsid w:val="00180AD9"/>
    <w:rsid w:val="00182A2B"/>
    <w:rsid w:val="0018338F"/>
    <w:rsid w:val="00186478"/>
    <w:rsid w:val="00194DD1"/>
    <w:rsid w:val="001B1936"/>
    <w:rsid w:val="001D7277"/>
    <w:rsid w:val="001E31D4"/>
    <w:rsid w:val="001F0994"/>
    <w:rsid w:val="00206AE9"/>
    <w:rsid w:val="00210121"/>
    <w:rsid w:val="00215954"/>
    <w:rsid w:val="00224CF5"/>
    <w:rsid w:val="00236C72"/>
    <w:rsid w:val="00243AF1"/>
    <w:rsid w:val="0024437E"/>
    <w:rsid w:val="00250B77"/>
    <w:rsid w:val="00250F7A"/>
    <w:rsid w:val="00254A8C"/>
    <w:rsid w:val="00256874"/>
    <w:rsid w:val="00256B36"/>
    <w:rsid w:val="00280EAA"/>
    <w:rsid w:val="00281FF0"/>
    <w:rsid w:val="00291AFF"/>
    <w:rsid w:val="00292773"/>
    <w:rsid w:val="00297C68"/>
    <w:rsid w:val="002A12EC"/>
    <w:rsid w:val="002B3909"/>
    <w:rsid w:val="002B63F1"/>
    <w:rsid w:val="002C7F87"/>
    <w:rsid w:val="002D2BFA"/>
    <w:rsid w:val="002D74FB"/>
    <w:rsid w:val="002F35B2"/>
    <w:rsid w:val="00300F36"/>
    <w:rsid w:val="00304170"/>
    <w:rsid w:val="00304865"/>
    <w:rsid w:val="003132D6"/>
    <w:rsid w:val="00323A99"/>
    <w:rsid w:val="003246D6"/>
    <w:rsid w:val="00340C0D"/>
    <w:rsid w:val="003410DD"/>
    <w:rsid w:val="00341735"/>
    <w:rsid w:val="00341753"/>
    <w:rsid w:val="00351A9B"/>
    <w:rsid w:val="003627A1"/>
    <w:rsid w:val="00383EBE"/>
    <w:rsid w:val="00387F7F"/>
    <w:rsid w:val="00390CCA"/>
    <w:rsid w:val="0039387D"/>
    <w:rsid w:val="00394DBF"/>
    <w:rsid w:val="003C61CA"/>
    <w:rsid w:val="003D467B"/>
    <w:rsid w:val="003E0F90"/>
    <w:rsid w:val="003E34CE"/>
    <w:rsid w:val="003E34D7"/>
    <w:rsid w:val="003E771C"/>
    <w:rsid w:val="003F5122"/>
    <w:rsid w:val="004019BF"/>
    <w:rsid w:val="004039E0"/>
    <w:rsid w:val="0040691D"/>
    <w:rsid w:val="00407C48"/>
    <w:rsid w:val="00422387"/>
    <w:rsid w:val="004267F4"/>
    <w:rsid w:val="004329E6"/>
    <w:rsid w:val="004358FB"/>
    <w:rsid w:val="00442C91"/>
    <w:rsid w:val="00442E0C"/>
    <w:rsid w:val="0045224E"/>
    <w:rsid w:val="0047796E"/>
    <w:rsid w:val="0048341E"/>
    <w:rsid w:val="00491D81"/>
    <w:rsid w:val="004953E3"/>
    <w:rsid w:val="00496D55"/>
    <w:rsid w:val="004A792B"/>
    <w:rsid w:val="004B010D"/>
    <w:rsid w:val="004C2135"/>
    <w:rsid w:val="004C2B6B"/>
    <w:rsid w:val="004C2F81"/>
    <w:rsid w:val="004C3ED4"/>
    <w:rsid w:val="004C7F2B"/>
    <w:rsid w:val="004D035D"/>
    <w:rsid w:val="004D0A3A"/>
    <w:rsid w:val="004D3AFF"/>
    <w:rsid w:val="004D4A8D"/>
    <w:rsid w:val="004E19EF"/>
    <w:rsid w:val="004E24D5"/>
    <w:rsid w:val="004F0499"/>
    <w:rsid w:val="00511630"/>
    <w:rsid w:val="00517843"/>
    <w:rsid w:val="00521024"/>
    <w:rsid w:val="00525E7F"/>
    <w:rsid w:val="005269D0"/>
    <w:rsid w:val="00531C4B"/>
    <w:rsid w:val="005360E2"/>
    <w:rsid w:val="005442A7"/>
    <w:rsid w:val="00556F71"/>
    <w:rsid w:val="00560DE0"/>
    <w:rsid w:val="00567CD5"/>
    <w:rsid w:val="005976D8"/>
    <w:rsid w:val="005A15F5"/>
    <w:rsid w:val="005A3616"/>
    <w:rsid w:val="005A612B"/>
    <w:rsid w:val="005B0931"/>
    <w:rsid w:val="005B4B1C"/>
    <w:rsid w:val="005B4FE7"/>
    <w:rsid w:val="005C0269"/>
    <w:rsid w:val="005E11BE"/>
    <w:rsid w:val="005E1B76"/>
    <w:rsid w:val="005E48D3"/>
    <w:rsid w:val="005E63EF"/>
    <w:rsid w:val="005F2FA2"/>
    <w:rsid w:val="005F3EC7"/>
    <w:rsid w:val="005F7186"/>
    <w:rsid w:val="0060756D"/>
    <w:rsid w:val="00607592"/>
    <w:rsid w:val="00613949"/>
    <w:rsid w:val="006219DA"/>
    <w:rsid w:val="00626C13"/>
    <w:rsid w:val="00636B59"/>
    <w:rsid w:val="00654F8B"/>
    <w:rsid w:val="00656378"/>
    <w:rsid w:val="00656749"/>
    <w:rsid w:val="00657B15"/>
    <w:rsid w:val="0066234D"/>
    <w:rsid w:val="00662350"/>
    <w:rsid w:val="006734CF"/>
    <w:rsid w:val="00673A6A"/>
    <w:rsid w:val="00673CBF"/>
    <w:rsid w:val="00682479"/>
    <w:rsid w:val="00685C54"/>
    <w:rsid w:val="006906D5"/>
    <w:rsid w:val="00696449"/>
    <w:rsid w:val="0069693A"/>
    <w:rsid w:val="00697962"/>
    <w:rsid w:val="006A120D"/>
    <w:rsid w:val="006C07CE"/>
    <w:rsid w:val="006D1B14"/>
    <w:rsid w:val="006D43D3"/>
    <w:rsid w:val="006E5B35"/>
    <w:rsid w:val="006E770A"/>
    <w:rsid w:val="006F5A38"/>
    <w:rsid w:val="00704A78"/>
    <w:rsid w:val="007071C6"/>
    <w:rsid w:val="00716089"/>
    <w:rsid w:val="007164B6"/>
    <w:rsid w:val="00716A65"/>
    <w:rsid w:val="007301EC"/>
    <w:rsid w:val="00763881"/>
    <w:rsid w:val="00766844"/>
    <w:rsid w:val="00770B2A"/>
    <w:rsid w:val="007773F0"/>
    <w:rsid w:val="00781736"/>
    <w:rsid w:val="00782ACB"/>
    <w:rsid w:val="00782C99"/>
    <w:rsid w:val="00792B42"/>
    <w:rsid w:val="00794DD3"/>
    <w:rsid w:val="0079552C"/>
    <w:rsid w:val="00795B0F"/>
    <w:rsid w:val="0079600A"/>
    <w:rsid w:val="007A0DDB"/>
    <w:rsid w:val="007A6A61"/>
    <w:rsid w:val="007B0CAC"/>
    <w:rsid w:val="007B1D09"/>
    <w:rsid w:val="007B76F5"/>
    <w:rsid w:val="007C0BDD"/>
    <w:rsid w:val="007C4794"/>
    <w:rsid w:val="007C4869"/>
    <w:rsid w:val="007C632F"/>
    <w:rsid w:val="007C7BB9"/>
    <w:rsid w:val="007D6D51"/>
    <w:rsid w:val="007D7879"/>
    <w:rsid w:val="007E3FEF"/>
    <w:rsid w:val="007F6027"/>
    <w:rsid w:val="0081385F"/>
    <w:rsid w:val="008209F6"/>
    <w:rsid w:val="00832932"/>
    <w:rsid w:val="00842192"/>
    <w:rsid w:val="00842F39"/>
    <w:rsid w:val="0085024D"/>
    <w:rsid w:val="00850D43"/>
    <w:rsid w:val="00852A98"/>
    <w:rsid w:val="00861A0E"/>
    <w:rsid w:val="0086459C"/>
    <w:rsid w:val="0086742D"/>
    <w:rsid w:val="00876498"/>
    <w:rsid w:val="0087783B"/>
    <w:rsid w:val="00881E7C"/>
    <w:rsid w:val="008A5C9C"/>
    <w:rsid w:val="008A6F04"/>
    <w:rsid w:val="008B51AA"/>
    <w:rsid w:val="008B7681"/>
    <w:rsid w:val="008D4C9B"/>
    <w:rsid w:val="008E05A7"/>
    <w:rsid w:val="008E1999"/>
    <w:rsid w:val="008E7297"/>
    <w:rsid w:val="008E7D8D"/>
    <w:rsid w:val="009074A6"/>
    <w:rsid w:val="00907698"/>
    <w:rsid w:val="00907FE3"/>
    <w:rsid w:val="00914B0A"/>
    <w:rsid w:val="0091738B"/>
    <w:rsid w:val="0093384E"/>
    <w:rsid w:val="00936377"/>
    <w:rsid w:val="00957534"/>
    <w:rsid w:val="00961D95"/>
    <w:rsid w:val="009643BC"/>
    <w:rsid w:val="00964C22"/>
    <w:rsid w:val="00965812"/>
    <w:rsid w:val="00966600"/>
    <w:rsid w:val="00967192"/>
    <w:rsid w:val="009722F4"/>
    <w:rsid w:val="0097735E"/>
    <w:rsid w:val="009816D1"/>
    <w:rsid w:val="00987386"/>
    <w:rsid w:val="00990045"/>
    <w:rsid w:val="009A0A0B"/>
    <w:rsid w:val="009A1B38"/>
    <w:rsid w:val="009A2353"/>
    <w:rsid w:val="009B3448"/>
    <w:rsid w:val="009B576D"/>
    <w:rsid w:val="009B7AEE"/>
    <w:rsid w:val="009C369F"/>
    <w:rsid w:val="009C487D"/>
    <w:rsid w:val="009C74ED"/>
    <w:rsid w:val="009D11AE"/>
    <w:rsid w:val="009E0CB0"/>
    <w:rsid w:val="009E5921"/>
    <w:rsid w:val="00A0054A"/>
    <w:rsid w:val="00A00CBC"/>
    <w:rsid w:val="00A03613"/>
    <w:rsid w:val="00A0652A"/>
    <w:rsid w:val="00A13FE9"/>
    <w:rsid w:val="00A14CE1"/>
    <w:rsid w:val="00A27737"/>
    <w:rsid w:val="00A27743"/>
    <w:rsid w:val="00A32E21"/>
    <w:rsid w:val="00A3503A"/>
    <w:rsid w:val="00A47FF9"/>
    <w:rsid w:val="00A545CC"/>
    <w:rsid w:val="00A55349"/>
    <w:rsid w:val="00A579F0"/>
    <w:rsid w:val="00A60705"/>
    <w:rsid w:val="00A607ED"/>
    <w:rsid w:val="00A60C10"/>
    <w:rsid w:val="00A63FBA"/>
    <w:rsid w:val="00A640EA"/>
    <w:rsid w:val="00A64B06"/>
    <w:rsid w:val="00A64FFE"/>
    <w:rsid w:val="00A66D6E"/>
    <w:rsid w:val="00A81ED3"/>
    <w:rsid w:val="00A96B3C"/>
    <w:rsid w:val="00AB0D98"/>
    <w:rsid w:val="00AB1258"/>
    <w:rsid w:val="00AB30A0"/>
    <w:rsid w:val="00AB3736"/>
    <w:rsid w:val="00AB4748"/>
    <w:rsid w:val="00AB547C"/>
    <w:rsid w:val="00AB6544"/>
    <w:rsid w:val="00AB7251"/>
    <w:rsid w:val="00AE2FBF"/>
    <w:rsid w:val="00AE6336"/>
    <w:rsid w:val="00AF30F3"/>
    <w:rsid w:val="00AF48AB"/>
    <w:rsid w:val="00B01383"/>
    <w:rsid w:val="00B02092"/>
    <w:rsid w:val="00B064EC"/>
    <w:rsid w:val="00B24917"/>
    <w:rsid w:val="00B358D6"/>
    <w:rsid w:val="00B42C53"/>
    <w:rsid w:val="00B43660"/>
    <w:rsid w:val="00B43E7D"/>
    <w:rsid w:val="00B604F1"/>
    <w:rsid w:val="00B6395B"/>
    <w:rsid w:val="00B6439A"/>
    <w:rsid w:val="00B719CA"/>
    <w:rsid w:val="00B733BE"/>
    <w:rsid w:val="00B75F03"/>
    <w:rsid w:val="00B847CF"/>
    <w:rsid w:val="00B9114F"/>
    <w:rsid w:val="00BA4093"/>
    <w:rsid w:val="00BA50AE"/>
    <w:rsid w:val="00BC37AF"/>
    <w:rsid w:val="00BD2408"/>
    <w:rsid w:val="00BF6532"/>
    <w:rsid w:val="00BF7794"/>
    <w:rsid w:val="00C21096"/>
    <w:rsid w:val="00C4445F"/>
    <w:rsid w:val="00C452D6"/>
    <w:rsid w:val="00C47964"/>
    <w:rsid w:val="00C53D54"/>
    <w:rsid w:val="00C54A89"/>
    <w:rsid w:val="00C6385C"/>
    <w:rsid w:val="00C70B46"/>
    <w:rsid w:val="00C71597"/>
    <w:rsid w:val="00C83BA4"/>
    <w:rsid w:val="00C873A8"/>
    <w:rsid w:val="00C94D27"/>
    <w:rsid w:val="00C96648"/>
    <w:rsid w:val="00CA617D"/>
    <w:rsid w:val="00CA768A"/>
    <w:rsid w:val="00CA7CBC"/>
    <w:rsid w:val="00CB0E3D"/>
    <w:rsid w:val="00CB224A"/>
    <w:rsid w:val="00CC48FB"/>
    <w:rsid w:val="00CD0122"/>
    <w:rsid w:val="00CD0E2C"/>
    <w:rsid w:val="00CD372D"/>
    <w:rsid w:val="00CD3CDD"/>
    <w:rsid w:val="00CD6384"/>
    <w:rsid w:val="00CE37DE"/>
    <w:rsid w:val="00CF30E8"/>
    <w:rsid w:val="00CF5FAC"/>
    <w:rsid w:val="00D028A9"/>
    <w:rsid w:val="00D03084"/>
    <w:rsid w:val="00D056AE"/>
    <w:rsid w:val="00D0604B"/>
    <w:rsid w:val="00D06D6A"/>
    <w:rsid w:val="00D11B9E"/>
    <w:rsid w:val="00D130CF"/>
    <w:rsid w:val="00D15808"/>
    <w:rsid w:val="00D24908"/>
    <w:rsid w:val="00D24D84"/>
    <w:rsid w:val="00D271E9"/>
    <w:rsid w:val="00D34F94"/>
    <w:rsid w:val="00D47AD4"/>
    <w:rsid w:val="00D510A4"/>
    <w:rsid w:val="00D54336"/>
    <w:rsid w:val="00D7174C"/>
    <w:rsid w:val="00D756B5"/>
    <w:rsid w:val="00D840AE"/>
    <w:rsid w:val="00D92FCA"/>
    <w:rsid w:val="00DA2B9A"/>
    <w:rsid w:val="00DA2D7E"/>
    <w:rsid w:val="00DA3436"/>
    <w:rsid w:val="00DA3CDE"/>
    <w:rsid w:val="00DB0458"/>
    <w:rsid w:val="00DB3B47"/>
    <w:rsid w:val="00DD214D"/>
    <w:rsid w:val="00DD550F"/>
    <w:rsid w:val="00DD69FD"/>
    <w:rsid w:val="00DE3C31"/>
    <w:rsid w:val="00DE499A"/>
    <w:rsid w:val="00DE5D47"/>
    <w:rsid w:val="00DE6C01"/>
    <w:rsid w:val="00E12711"/>
    <w:rsid w:val="00E20BD0"/>
    <w:rsid w:val="00E23EF4"/>
    <w:rsid w:val="00E26E49"/>
    <w:rsid w:val="00E376D8"/>
    <w:rsid w:val="00E43241"/>
    <w:rsid w:val="00E60D3A"/>
    <w:rsid w:val="00E6645E"/>
    <w:rsid w:val="00E85B26"/>
    <w:rsid w:val="00E85C92"/>
    <w:rsid w:val="00EA2274"/>
    <w:rsid w:val="00EB0F8E"/>
    <w:rsid w:val="00EB1BC3"/>
    <w:rsid w:val="00EB5846"/>
    <w:rsid w:val="00EC08F8"/>
    <w:rsid w:val="00EC102F"/>
    <w:rsid w:val="00EC27F5"/>
    <w:rsid w:val="00EC370F"/>
    <w:rsid w:val="00EC7BBC"/>
    <w:rsid w:val="00ED5052"/>
    <w:rsid w:val="00EE374A"/>
    <w:rsid w:val="00EE59F6"/>
    <w:rsid w:val="00EE7617"/>
    <w:rsid w:val="00F054E3"/>
    <w:rsid w:val="00F0782F"/>
    <w:rsid w:val="00F177C2"/>
    <w:rsid w:val="00F54FE0"/>
    <w:rsid w:val="00F70079"/>
    <w:rsid w:val="00F77AD3"/>
    <w:rsid w:val="00F872DA"/>
    <w:rsid w:val="00F95609"/>
    <w:rsid w:val="00FA27DD"/>
    <w:rsid w:val="00FA283B"/>
    <w:rsid w:val="00FA30B2"/>
    <w:rsid w:val="00FB2AC3"/>
    <w:rsid w:val="00FB3B40"/>
    <w:rsid w:val="00FB4593"/>
    <w:rsid w:val="00FB770C"/>
    <w:rsid w:val="00FC07D5"/>
    <w:rsid w:val="00FC41CB"/>
    <w:rsid w:val="00FD016A"/>
    <w:rsid w:val="00FD4BC1"/>
    <w:rsid w:val="00FD5DEC"/>
    <w:rsid w:val="00FF45F6"/>
    <w:rsid w:val="00FF4616"/>
    <w:rsid w:val="00FF5C26"/>
    <w:rsid w:val="00FF6190"/>
    <w:rsid w:val="01899183"/>
    <w:rsid w:val="01AB5A70"/>
    <w:rsid w:val="01CDAEB1"/>
    <w:rsid w:val="01F33054"/>
    <w:rsid w:val="0287F7A8"/>
    <w:rsid w:val="046A7AFC"/>
    <w:rsid w:val="04DD9E5D"/>
    <w:rsid w:val="060637D9"/>
    <w:rsid w:val="0685CE10"/>
    <w:rsid w:val="06E5D389"/>
    <w:rsid w:val="07D2936D"/>
    <w:rsid w:val="085F56FF"/>
    <w:rsid w:val="08DE4B4D"/>
    <w:rsid w:val="0973A94E"/>
    <w:rsid w:val="09EA938F"/>
    <w:rsid w:val="0B1C9976"/>
    <w:rsid w:val="0C6CCE3D"/>
    <w:rsid w:val="0CA03E94"/>
    <w:rsid w:val="0CF1EE9E"/>
    <w:rsid w:val="0D3BECB0"/>
    <w:rsid w:val="0D5360B6"/>
    <w:rsid w:val="0E9FFDBC"/>
    <w:rsid w:val="0ED2133C"/>
    <w:rsid w:val="0F0B56B4"/>
    <w:rsid w:val="0F7C9AE8"/>
    <w:rsid w:val="10DCB4B1"/>
    <w:rsid w:val="112D2531"/>
    <w:rsid w:val="114D9806"/>
    <w:rsid w:val="12815315"/>
    <w:rsid w:val="130F8018"/>
    <w:rsid w:val="13AB2E34"/>
    <w:rsid w:val="1428486C"/>
    <w:rsid w:val="14AB5079"/>
    <w:rsid w:val="14B35690"/>
    <w:rsid w:val="14C026EB"/>
    <w:rsid w:val="15A07AC3"/>
    <w:rsid w:val="164720DA"/>
    <w:rsid w:val="16B98171"/>
    <w:rsid w:val="16CDE274"/>
    <w:rsid w:val="1716A1DD"/>
    <w:rsid w:val="173AF07D"/>
    <w:rsid w:val="18030A04"/>
    <w:rsid w:val="18F84CCC"/>
    <w:rsid w:val="1905FD7F"/>
    <w:rsid w:val="1972624A"/>
    <w:rsid w:val="1993980E"/>
    <w:rsid w:val="1AA85674"/>
    <w:rsid w:val="1ACA0605"/>
    <w:rsid w:val="1B50DD2C"/>
    <w:rsid w:val="1C0E54F0"/>
    <w:rsid w:val="1C920302"/>
    <w:rsid w:val="1D3263E4"/>
    <w:rsid w:val="1D84A244"/>
    <w:rsid w:val="1E4B3042"/>
    <w:rsid w:val="1E82EA2B"/>
    <w:rsid w:val="1ED6F0E2"/>
    <w:rsid w:val="1F584A00"/>
    <w:rsid w:val="21EDB449"/>
    <w:rsid w:val="22B53C33"/>
    <w:rsid w:val="23A0A2B8"/>
    <w:rsid w:val="24DA22EB"/>
    <w:rsid w:val="25322F29"/>
    <w:rsid w:val="2567385B"/>
    <w:rsid w:val="2591A224"/>
    <w:rsid w:val="26517A6C"/>
    <w:rsid w:val="26E5E5D6"/>
    <w:rsid w:val="277387DD"/>
    <w:rsid w:val="27968693"/>
    <w:rsid w:val="27F77D0F"/>
    <w:rsid w:val="28C6B8D1"/>
    <w:rsid w:val="2B9425EF"/>
    <w:rsid w:val="2BE74216"/>
    <w:rsid w:val="2C328943"/>
    <w:rsid w:val="2C525110"/>
    <w:rsid w:val="2C6B8314"/>
    <w:rsid w:val="2DED3C02"/>
    <w:rsid w:val="2F2FE08C"/>
    <w:rsid w:val="2F57C791"/>
    <w:rsid w:val="2F890C63"/>
    <w:rsid w:val="302BCE28"/>
    <w:rsid w:val="3122897F"/>
    <w:rsid w:val="31496BA0"/>
    <w:rsid w:val="31E2F75F"/>
    <w:rsid w:val="325194A1"/>
    <w:rsid w:val="33868017"/>
    <w:rsid w:val="33B9689F"/>
    <w:rsid w:val="344D9919"/>
    <w:rsid w:val="34E616EE"/>
    <w:rsid w:val="35F8DBE7"/>
    <w:rsid w:val="373BAD63"/>
    <w:rsid w:val="3754F370"/>
    <w:rsid w:val="376CA65A"/>
    <w:rsid w:val="378A96B0"/>
    <w:rsid w:val="37E102BF"/>
    <w:rsid w:val="3A4E38ED"/>
    <w:rsid w:val="3A7336A9"/>
    <w:rsid w:val="3CF187E4"/>
    <w:rsid w:val="3DA123C7"/>
    <w:rsid w:val="3DAD9223"/>
    <w:rsid w:val="3DC1EC2E"/>
    <w:rsid w:val="3DC5320E"/>
    <w:rsid w:val="3E0E9FBC"/>
    <w:rsid w:val="3E41BB9E"/>
    <w:rsid w:val="3EDB93A9"/>
    <w:rsid w:val="3EF7745A"/>
    <w:rsid w:val="3F67678D"/>
    <w:rsid w:val="3FE05C1B"/>
    <w:rsid w:val="43A91977"/>
    <w:rsid w:val="43E044A0"/>
    <w:rsid w:val="44CCAD80"/>
    <w:rsid w:val="45D81DFA"/>
    <w:rsid w:val="46391153"/>
    <w:rsid w:val="47EE04B6"/>
    <w:rsid w:val="498B7DB9"/>
    <w:rsid w:val="4A7E9C04"/>
    <w:rsid w:val="4AB41191"/>
    <w:rsid w:val="4B5A4165"/>
    <w:rsid w:val="4E6013FB"/>
    <w:rsid w:val="4FC6B87E"/>
    <w:rsid w:val="5009C183"/>
    <w:rsid w:val="50137660"/>
    <w:rsid w:val="502DB288"/>
    <w:rsid w:val="50ED6EEB"/>
    <w:rsid w:val="50F9CE3D"/>
    <w:rsid w:val="510EA4AF"/>
    <w:rsid w:val="51C982E9"/>
    <w:rsid w:val="51DE5F3C"/>
    <w:rsid w:val="524CB8E9"/>
    <w:rsid w:val="52ED3E71"/>
    <w:rsid w:val="5331DE2F"/>
    <w:rsid w:val="535C071B"/>
    <w:rsid w:val="53B8AAE2"/>
    <w:rsid w:val="53F5808D"/>
    <w:rsid w:val="54237C16"/>
    <w:rsid w:val="54464571"/>
    <w:rsid w:val="5471CD8C"/>
    <w:rsid w:val="54E157E2"/>
    <w:rsid w:val="54EE051C"/>
    <w:rsid w:val="55380F2B"/>
    <w:rsid w:val="55547B43"/>
    <w:rsid w:val="5559D818"/>
    <w:rsid w:val="55EE4332"/>
    <w:rsid w:val="56907801"/>
    <w:rsid w:val="56E11B1C"/>
    <w:rsid w:val="581F9C10"/>
    <w:rsid w:val="59794F41"/>
    <w:rsid w:val="5A59236D"/>
    <w:rsid w:val="5A9E6FA2"/>
    <w:rsid w:val="5AFBC654"/>
    <w:rsid w:val="5B43B6C8"/>
    <w:rsid w:val="5B69F423"/>
    <w:rsid w:val="5C0737C6"/>
    <w:rsid w:val="5D45EC14"/>
    <w:rsid w:val="5D5983F5"/>
    <w:rsid w:val="5E8EDD94"/>
    <w:rsid w:val="5FFF8B70"/>
    <w:rsid w:val="6087FD62"/>
    <w:rsid w:val="60CE196A"/>
    <w:rsid w:val="61416465"/>
    <w:rsid w:val="622C7BCC"/>
    <w:rsid w:val="62385CB5"/>
    <w:rsid w:val="634EF963"/>
    <w:rsid w:val="63A675C7"/>
    <w:rsid w:val="63DF9373"/>
    <w:rsid w:val="66DE1689"/>
    <w:rsid w:val="67886A3E"/>
    <w:rsid w:val="678DB26C"/>
    <w:rsid w:val="680D1D67"/>
    <w:rsid w:val="68D0079A"/>
    <w:rsid w:val="6928E37E"/>
    <w:rsid w:val="697CDA65"/>
    <w:rsid w:val="69CB9C34"/>
    <w:rsid w:val="6AE96175"/>
    <w:rsid w:val="6AF73641"/>
    <w:rsid w:val="6BDF0D1D"/>
    <w:rsid w:val="6CA2F31A"/>
    <w:rsid w:val="6CC6E2EC"/>
    <w:rsid w:val="6E04622B"/>
    <w:rsid w:val="6EC63375"/>
    <w:rsid w:val="6F0DEB33"/>
    <w:rsid w:val="7084F8CF"/>
    <w:rsid w:val="7123D3A6"/>
    <w:rsid w:val="713494B2"/>
    <w:rsid w:val="7187EC4A"/>
    <w:rsid w:val="7243B64B"/>
    <w:rsid w:val="728A93AA"/>
    <w:rsid w:val="72D723CC"/>
    <w:rsid w:val="7354BCBE"/>
    <w:rsid w:val="764C2CE5"/>
    <w:rsid w:val="77830264"/>
    <w:rsid w:val="78C3123E"/>
    <w:rsid w:val="78C85856"/>
    <w:rsid w:val="78F04D96"/>
    <w:rsid w:val="791328E6"/>
    <w:rsid w:val="7934B388"/>
    <w:rsid w:val="7A077061"/>
    <w:rsid w:val="7AAFB0A0"/>
    <w:rsid w:val="7B08DA1C"/>
    <w:rsid w:val="7BA340C2"/>
    <w:rsid w:val="7C36FCBD"/>
    <w:rsid w:val="7C8EF64E"/>
    <w:rsid w:val="7CA8B3C5"/>
    <w:rsid w:val="7DE793CA"/>
    <w:rsid w:val="7E2AC6AF"/>
    <w:rsid w:val="7EDF4997"/>
    <w:rsid w:val="7EE8E6BE"/>
    <w:rsid w:val="7FE2F1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54364"/>
  <w15:chartTrackingRefBased/>
  <w15:docId w15:val="{9B872BBA-4943-410C-9D36-9AE33D25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94DD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2">
    <w:name w:val="heading 2"/>
    <w:basedOn w:val="Normal"/>
    <w:next w:val="Normal"/>
    <w:link w:val="Heading2Char"/>
    <w:unhideWhenUsed/>
    <w:qFormat/>
    <w:rsid w:val="00794DD3"/>
    <w:pPr>
      <w:keepNext/>
      <w:spacing w:before="60"/>
      <w:outlineLvl w:val="1"/>
    </w:pPr>
    <w:rPr>
      <w:rFonts w:eastAsia="Times New Roman"/>
      <w:b/>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4DD3"/>
    <w:rPr>
      <w:rFonts w:ascii="Arial" w:eastAsia="Times New Roman" w:hAnsi="Arial" w:cs="Helvetica-Light"/>
      <w:b/>
      <w:bCs/>
      <w:color w:val="000000"/>
      <w:sz w:val="32"/>
      <w:szCs w:val="26"/>
      <w:lang w:eastAsia="en-GB"/>
    </w:rPr>
  </w:style>
  <w:style w:type="paragraph" w:styleId="NoSpacing">
    <w:name w:val="No Spacing"/>
    <w:link w:val="NoSpacingChar"/>
    <w:uiPriority w:val="1"/>
    <w:qFormat/>
    <w:rsid w:val="00794DD3"/>
    <w:pPr>
      <w:spacing w:after="0" w:line="240" w:lineRule="auto"/>
    </w:pPr>
    <w:rPr>
      <w:rFonts w:ascii="Calibri" w:eastAsia="Calibri" w:hAnsi="Calibri" w:cs="Times New Roman"/>
    </w:rPr>
  </w:style>
  <w:style w:type="character" w:customStyle="1" w:styleId="NoSpacingChar">
    <w:name w:val="No Spacing Char"/>
    <w:link w:val="NoSpacing"/>
    <w:uiPriority w:val="1"/>
    <w:rsid w:val="00794DD3"/>
    <w:rPr>
      <w:rFonts w:ascii="Calibri" w:eastAsia="Calibri" w:hAnsi="Calibri" w:cs="Times New Roman"/>
    </w:rPr>
  </w:style>
  <w:style w:type="paragraph" w:styleId="CommentText">
    <w:name w:val="annotation text"/>
    <w:basedOn w:val="Normal"/>
    <w:link w:val="CommentTextChar"/>
    <w:uiPriority w:val="99"/>
    <w:unhideWhenUsed/>
    <w:rsid w:val="00794DD3"/>
    <w:rPr>
      <w:sz w:val="20"/>
      <w:szCs w:val="20"/>
    </w:rPr>
  </w:style>
  <w:style w:type="character" w:customStyle="1" w:styleId="CommentTextChar">
    <w:name w:val="Comment Text Char"/>
    <w:basedOn w:val="DefaultParagraphFont"/>
    <w:link w:val="CommentText"/>
    <w:uiPriority w:val="99"/>
    <w:rsid w:val="00794DD3"/>
    <w:rPr>
      <w:rFonts w:ascii="Arial" w:eastAsia="Calibri" w:hAnsi="Arial" w:cs="Helvetica-Light"/>
      <w:color w:val="000000"/>
      <w:sz w:val="20"/>
      <w:szCs w:val="20"/>
    </w:rPr>
  </w:style>
  <w:style w:type="paragraph" w:styleId="ListParagraph">
    <w:name w:val="List Paragraph"/>
    <w:basedOn w:val="Normal"/>
    <w:uiPriority w:val="34"/>
    <w:qFormat/>
    <w:rsid w:val="00794DD3"/>
    <w:pPr>
      <w:ind w:left="720"/>
      <w:contextualSpacing/>
    </w:pPr>
  </w:style>
  <w:style w:type="paragraph" w:customStyle="1" w:styleId="paragraph">
    <w:name w:val="paragraph"/>
    <w:basedOn w:val="Normal"/>
    <w:link w:val="paragraphChar"/>
    <w:rsid w:val="008E7297"/>
    <w:pPr>
      <w:autoSpaceDE/>
      <w:autoSpaceDN/>
      <w:adjustRightInd/>
      <w:spacing w:before="100" w:beforeAutospacing="1" w:after="100" w:afterAutospacing="1"/>
      <w:jc w:val="left"/>
    </w:pPr>
    <w:rPr>
      <w:rFonts w:ascii="Calibri" w:eastAsiaTheme="minorHAnsi" w:hAnsi="Calibri" w:cs="Calibri"/>
      <w:color w:val="auto"/>
      <w:sz w:val="22"/>
      <w:szCs w:val="22"/>
      <w:lang w:eastAsia="en-GB"/>
    </w:rPr>
  </w:style>
  <w:style w:type="character" w:customStyle="1" w:styleId="normaltextrun">
    <w:name w:val="normaltextrun"/>
    <w:basedOn w:val="DefaultParagraphFont"/>
    <w:rsid w:val="008E7297"/>
  </w:style>
  <w:style w:type="character" w:customStyle="1" w:styleId="eop">
    <w:name w:val="eop"/>
    <w:basedOn w:val="DefaultParagraphFont"/>
    <w:rsid w:val="008E729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character" w:styleId="CommentReference">
    <w:name w:val="annotation reference"/>
    <w:basedOn w:val="DefaultParagraphFont"/>
    <w:uiPriority w:val="99"/>
    <w:semiHidden/>
    <w:unhideWhenUsed/>
    <w:rsid w:val="00FB2AC3"/>
    <w:rPr>
      <w:sz w:val="16"/>
      <w:szCs w:val="16"/>
    </w:rPr>
  </w:style>
  <w:style w:type="paragraph" w:styleId="CommentSubject">
    <w:name w:val="annotation subject"/>
    <w:basedOn w:val="CommentText"/>
    <w:next w:val="CommentText"/>
    <w:link w:val="CommentSubjectChar"/>
    <w:uiPriority w:val="99"/>
    <w:semiHidden/>
    <w:unhideWhenUsed/>
    <w:rsid w:val="00FB2AC3"/>
    <w:rPr>
      <w:b/>
      <w:bCs/>
    </w:rPr>
  </w:style>
  <w:style w:type="character" w:customStyle="1" w:styleId="CommentSubjectChar">
    <w:name w:val="Comment Subject Char"/>
    <w:basedOn w:val="CommentTextChar"/>
    <w:link w:val="CommentSubject"/>
    <w:uiPriority w:val="99"/>
    <w:semiHidden/>
    <w:rsid w:val="00FB2AC3"/>
    <w:rPr>
      <w:rFonts w:ascii="Arial" w:eastAsia="Calibri" w:hAnsi="Arial" w:cs="Helvetica-Light"/>
      <w:b/>
      <w:bCs/>
      <w:color w:val="000000"/>
      <w:sz w:val="20"/>
      <w:szCs w:val="20"/>
    </w:rPr>
  </w:style>
  <w:style w:type="paragraph" w:styleId="BalloonText">
    <w:name w:val="Balloon Text"/>
    <w:basedOn w:val="Normal"/>
    <w:link w:val="BalloonTextChar"/>
    <w:uiPriority w:val="99"/>
    <w:semiHidden/>
    <w:unhideWhenUsed/>
    <w:rsid w:val="006567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49"/>
    <w:rPr>
      <w:rFonts w:ascii="Segoe UI" w:eastAsia="Calibri" w:hAnsi="Segoe UI" w:cs="Segoe UI"/>
      <w:color w:val="000000"/>
      <w:sz w:val="18"/>
      <w:szCs w:val="18"/>
    </w:rPr>
  </w:style>
  <w:style w:type="paragraph" w:styleId="NormalWeb">
    <w:name w:val="Normal (Web)"/>
    <w:basedOn w:val="Normal"/>
    <w:uiPriority w:val="99"/>
    <w:semiHidden/>
    <w:unhideWhenUsed/>
    <w:rsid w:val="008E1999"/>
    <w:rPr>
      <w:rFonts w:ascii="Times New Roman" w:hAnsi="Times New Roman" w:cs="Times New Roman"/>
    </w:rPr>
  </w:style>
  <w:style w:type="paragraph" w:customStyle="1" w:styleId="Style1">
    <w:name w:val="Style1"/>
    <w:basedOn w:val="paragraph"/>
    <w:link w:val="Style1Char"/>
    <w:uiPriority w:val="2"/>
    <w:qFormat/>
    <w:rsid w:val="00243AF1"/>
    <w:pPr>
      <w:spacing w:before="0" w:beforeAutospacing="0" w:after="0" w:afterAutospacing="0"/>
      <w:jc w:val="both"/>
      <w:textAlignment w:val="baseline"/>
    </w:pPr>
    <w:rPr>
      <w:rFonts w:ascii="Arial" w:hAnsi="Arial" w:cs="Arial"/>
      <w:b/>
      <w:bCs/>
      <w:sz w:val="24"/>
      <w:szCs w:val="24"/>
    </w:rPr>
  </w:style>
  <w:style w:type="character" w:customStyle="1" w:styleId="paragraphChar">
    <w:name w:val="paragraph Char"/>
    <w:basedOn w:val="DefaultParagraphFont"/>
    <w:link w:val="paragraph"/>
    <w:rsid w:val="00243AF1"/>
    <w:rPr>
      <w:rFonts w:ascii="Calibri" w:hAnsi="Calibri" w:cs="Calibri"/>
      <w:lang w:eastAsia="en-GB"/>
    </w:rPr>
  </w:style>
  <w:style w:type="character" w:customStyle="1" w:styleId="Style1Char">
    <w:name w:val="Style1 Char"/>
    <w:basedOn w:val="paragraphChar"/>
    <w:link w:val="Style1"/>
    <w:uiPriority w:val="2"/>
    <w:rsid w:val="00243AF1"/>
    <w:rPr>
      <w:rFonts w:ascii="Arial"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8" ma:contentTypeDescription="Create a new document." ma:contentTypeScope="" ma:versionID="f42e6bc6da829418ebef66d9b0a909fb">
  <xsd:schema xmlns:xsd="http://www.w3.org/2001/XMLSchema" xmlns:xs="http://www.w3.org/2001/XMLSchema" xmlns:p="http://schemas.microsoft.com/office/2006/metadata/properties" xmlns:ns3="eb36aaf7-c0ad-4e0a-93b7-c73b1e4a9621" targetNamespace="http://schemas.microsoft.com/office/2006/metadata/properties" ma:root="true" ma:fieldsID="72b9d34cab36661a427818678f1cf2ad"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7FCD6-55D7-45C6-861D-10ED13B4F9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D42A87-9EFF-4994-B4C3-E87DF2FF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75746-E530-476D-8D7F-44AA987CC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5731</Words>
  <Characters>32668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Steven</dc:creator>
  <cp:lastModifiedBy>Mansfield, Joanne</cp:lastModifiedBy>
  <cp:revision>8</cp:revision>
  <dcterms:created xsi:type="dcterms:W3CDTF">2021-11-09T11:23:00Z</dcterms:created>
  <dcterms:modified xsi:type="dcterms:W3CDTF">2021-11-11T12:28:00Z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